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167" w:rsidRDefault="00E02167" w:rsidP="00E02167">
      <w:pPr>
        <w:autoSpaceDE w:val="0"/>
        <w:autoSpaceDN w:val="0"/>
        <w:adjustRightInd w:val="0"/>
        <w:spacing w:after="120" w:line="240" w:lineRule="auto"/>
        <w:ind w:hanging="28"/>
        <w:jc w:val="center"/>
        <w:rPr>
          <w:rFonts w:ascii="Simplified Arabic" w:eastAsia="Times New Roman" w:hAnsi="Simplified Arabic" w:cs="Simplified Arabic"/>
          <w:b/>
          <w:bCs/>
          <w:sz w:val="32"/>
          <w:szCs w:val="32"/>
        </w:rPr>
      </w:pPr>
      <w:bookmarkStart w:id="0" w:name="_GoBack"/>
      <w:r>
        <w:rPr>
          <w:rFonts w:ascii="Simplified Arabic" w:eastAsia="Times New Roman" w:hAnsi="Simplified Arabic" w:cs="Simplified Arabic"/>
          <w:b/>
          <w:bCs/>
          <w:sz w:val="32"/>
          <w:szCs w:val="32"/>
          <w:rtl/>
        </w:rPr>
        <w:t>المُلخص:</w:t>
      </w:r>
    </w:p>
    <w:bookmarkEnd w:id="0"/>
    <w:p w:rsidR="00E02167" w:rsidRDefault="00E02167" w:rsidP="00E02167">
      <w:pPr>
        <w:spacing w:after="0" w:line="360" w:lineRule="auto"/>
        <w:ind w:right="-288" w:hanging="28"/>
        <w:jc w:val="both"/>
        <w:rPr>
          <w:rFonts w:ascii="Simplified Arabic" w:eastAsia="Calibri" w:hAnsi="Simplified Arabic" w:cs="Simplified Arabic"/>
          <w:smallCaps/>
          <w:sz w:val="28"/>
          <w:szCs w:val="28"/>
          <w:rtl/>
        </w:rPr>
      </w:pPr>
      <w:r>
        <w:rPr>
          <w:rFonts w:ascii="Simplified Arabic" w:eastAsia="Calibri" w:hAnsi="Simplified Arabic" w:cs="Simplified Arabic"/>
          <w:smallCaps/>
          <w:sz w:val="28"/>
          <w:szCs w:val="28"/>
          <w:rtl/>
        </w:rPr>
        <w:t xml:space="preserve">هدفت هذه الدراسة إلى التعرف على </w:t>
      </w:r>
      <w:r>
        <w:rPr>
          <w:rFonts w:ascii="Simplified Arabic" w:eastAsia="Calibri" w:hAnsi="Simplified Arabic" w:cs="Simplified Arabic"/>
          <w:b/>
          <w:bCs/>
          <w:smallCaps/>
          <w:sz w:val="28"/>
          <w:szCs w:val="28"/>
          <w:rtl/>
        </w:rPr>
        <w:t xml:space="preserve">أثر التسويق الإلكتروني في السلوك الشرائي للعملاء: دراسة تطبيقية على الشركة اليمنية العمانية المتحدة للاتصالات </w:t>
      </w:r>
      <w:r>
        <w:rPr>
          <w:rFonts w:ascii="Simplified Arabic" w:eastAsia="Calibri" w:hAnsi="Simplified Arabic" w:cs="Simplified Arabic"/>
          <w:b/>
          <w:bCs/>
          <w:smallCaps/>
          <w:sz w:val="28"/>
          <w:szCs w:val="28"/>
        </w:rPr>
        <w:t xml:space="preserve">YOU) </w:t>
      </w:r>
      <w:r>
        <w:rPr>
          <w:rFonts w:ascii="Simplified Arabic" w:eastAsia="Calibri" w:hAnsi="Simplified Arabic" w:cs="Simplified Arabic"/>
          <w:b/>
          <w:bCs/>
          <w:smallCaps/>
          <w:sz w:val="28"/>
          <w:szCs w:val="28"/>
          <w:rtl/>
        </w:rPr>
        <w:t>)بأمانة العاصمة صنعاء</w:t>
      </w:r>
      <w:r>
        <w:rPr>
          <w:rFonts w:ascii="Calibri Light" w:eastAsia="Times New Roman" w:hAnsi="Calibri Light" w:cs="PT Bold Heading" w:hint="cs"/>
          <w:b/>
          <w:color w:val="002060"/>
          <w:sz w:val="18"/>
          <w:szCs w:val="36"/>
          <w:rtl/>
        </w:rPr>
        <w:t>،</w:t>
      </w:r>
      <w:r>
        <w:rPr>
          <w:rFonts w:ascii="Simplified Arabic" w:eastAsia="Calibri" w:hAnsi="Simplified Arabic" w:cs="Simplified Arabic"/>
          <w:smallCaps/>
          <w:sz w:val="28"/>
          <w:szCs w:val="28"/>
          <w:rtl/>
        </w:rPr>
        <w:t xml:space="preserve"> إذ تم التعبير عن أبعاد التسويق الإلكتروني بـ(</w:t>
      </w:r>
      <w:r>
        <w:rPr>
          <w:rFonts w:ascii="Simplified Arabic" w:eastAsia="Times New Roman" w:hAnsi="Simplified Arabic" w:cs="Simplified Arabic"/>
          <w:sz w:val="28"/>
          <w:szCs w:val="28"/>
          <w:rtl/>
          <w:lang w:bidi="ar-JO"/>
        </w:rPr>
        <w:t>الجذب، التواصل، المشاركة، التعلم، والاحتفاظ)</w:t>
      </w:r>
      <w:r>
        <w:rPr>
          <w:rFonts w:ascii="Simplified Arabic" w:eastAsia="Calibri" w:hAnsi="Simplified Arabic" w:cs="Simplified Arabic"/>
          <w:sz w:val="28"/>
          <w:szCs w:val="28"/>
          <w:rtl/>
          <w:lang w:val="fr-FR"/>
        </w:rPr>
        <w:t>،</w:t>
      </w:r>
      <w:r>
        <w:rPr>
          <w:rFonts w:ascii="Simplified Arabic" w:eastAsia="Calibri" w:hAnsi="Simplified Arabic" w:cs="Simplified Arabic"/>
          <w:smallCaps/>
          <w:sz w:val="28"/>
          <w:szCs w:val="28"/>
          <w:rtl/>
        </w:rPr>
        <w:t xml:space="preserve"> فيما تم التعبير عن مراحل القرار الشرائي للمستهلك بـ(</w:t>
      </w:r>
      <w:r>
        <w:rPr>
          <w:rFonts w:ascii="Simplified Arabic" w:eastAsia="Calibri" w:hAnsi="Simplified Arabic" w:cs="Simplified Arabic"/>
          <w:sz w:val="28"/>
          <w:szCs w:val="28"/>
          <w:rtl/>
          <w:lang w:val="fr-FR"/>
        </w:rPr>
        <w:t>(الوعي والإدراك، الرغبة وإثارة الاهتمام، الفعل والسلوك الشرائي)،</w:t>
      </w:r>
      <w:r>
        <w:rPr>
          <w:rFonts w:ascii="Simplified Arabic" w:eastAsia="Calibri" w:hAnsi="Simplified Arabic" w:cs="Simplified Arabic"/>
          <w:smallCaps/>
          <w:sz w:val="28"/>
          <w:szCs w:val="28"/>
          <w:rtl/>
        </w:rPr>
        <w:t xml:space="preserve"> ولتحقيق أهداف الدراسة تم استخدام المنهج الوصفي التحليلي عبر تصميم استبانة شملت محاور الدراسة، وتمثل مجتمع الدراسة في عملاء الشركة اليمنية العمانية المتحدة للاتصالات </w:t>
      </w:r>
      <w:r>
        <w:rPr>
          <w:rFonts w:ascii="Simplified Arabic" w:eastAsia="Calibri" w:hAnsi="Simplified Arabic" w:cs="Simplified Arabic"/>
          <w:smallCaps/>
          <w:sz w:val="28"/>
          <w:szCs w:val="28"/>
        </w:rPr>
        <w:t xml:space="preserve">YOU) </w:t>
      </w:r>
      <w:r>
        <w:rPr>
          <w:rFonts w:ascii="Simplified Arabic" w:eastAsia="Calibri" w:hAnsi="Simplified Arabic" w:cs="Simplified Arabic"/>
          <w:smallCaps/>
          <w:sz w:val="28"/>
          <w:szCs w:val="28"/>
          <w:rtl/>
        </w:rPr>
        <w:t xml:space="preserve">)بأمانة العاصمة صنعاء،  ونظرا لاستحالة تحديد مجتمع الدراسة، </w:t>
      </w:r>
      <w:r>
        <w:rPr>
          <w:rFonts w:ascii="Simplified Arabic" w:eastAsia="Times New Roman" w:hAnsi="Simplified Arabic" w:cs="Simplified Arabic"/>
          <w:sz w:val="28"/>
          <w:szCs w:val="28"/>
          <w:rtl/>
          <w:lang w:val="x-none" w:eastAsia="x-none"/>
        </w:rPr>
        <w:t xml:space="preserve">فقد تم تحديد العينة </w:t>
      </w:r>
      <w:r>
        <w:rPr>
          <w:rFonts w:ascii="Simplified Arabic" w:eastAsia="Times New Roman" w:hAnsi="Simplified Arabic" w:cs="Simplified Arabic"/>
          <w:sz w:val="24"/>
          <w:szCs w:val="24"/>
          <w:rtl/>
          <w:lang w:val="x-none" w:eastAsia="x-none"/>
        </w:rPr>
        <w:t xml:space="preserve">(332) </w:t>
      </w:r>
      <w:r>
        <w:rPr>
          <w:rFonts w:ascii="Simplified Arabic" w:eastAsia="Times New Roman" w:hAnsi="Simplified Arabic" w:cs="Simplified Arabic"/>
          <w:sz w:val="28"/>
          <w:szCs w:val="28"/>
          <w:rtl/>
          <w:lang w:val="x-none" w:eastAsia="x-none"/>
        </w:rPr>
        <w:t xml:space="preserve">استبانة ووفقا للحدّ الأدنى المناسب لحجم العيّنة، وقد بلغت الاستمارات المستردة </w:t>
      </w:r>
      <w:r>
        <w:rPr>
          <w:rFonts w:ascii="Simplified Arabic" w:eastAsia="Times New Roman" w:hAnsi="Simplified Arabic" w:cs="Simplified Arabic"/>
          <w:sz w:val="24"/>
          <w:szCs w:val="24"/>
          <w:rtl/>
          <w:lang w:val="x-none" w:eastAsia="x-none"/>
        </w:rPr>
        <w:t>(332)</w:t>
      </w:r>
      <w:r>
        <w:rPr>
          <w:rFonts w:ascii="Simplified Arabic" w:eastAsia="Times New Roman" w:hAnsi="Simplified Arabic" w:cs="Simplified Arabic"/>
          <w:sz w:val="28"/>
          <w:szCs w:val="28"/>
          <w:rtl/>
          <w:lang w:val="x-none" w:eastAsia="x-none"/>
        </w:rPr>
        <w:t xml:space="preserve">استبانة وبنسبة استرداد بلغت </w:t>
      </w:r>
      <w:r>
        <w:rPr>
          <w:rFonts w:ascii="Simplified Arabic" w:eastAsia="Times New Roman" w:hAnsi="Simplified Arabic" w:cs="Simplified Arabic"/>
          <w:sz w:val="24"/>
          <w:szCs w:val="24"/>
          <w:rtl/>
          <w:lang w:val="x-none" w:eastAsia="x-none"/>
        </w:rPr>
        <w:t>(100%)،</w:t>
      </w:r>
      <w:r>
        <w:rPr>
          <w:rFonts w:ascii="Simplified Arabic" w:eastAsia="Calibri" w:hAnsi="Simplified Arabic" w:cs="Simplified Arabic"/>
          <w:smallCaps/>
          <w:sz w:val="28"/>
          <w:szCs w:val="28"/>
          <w:rtl/>
        </w:rPr>
        <w:t xml:space="preserve"> </w:t>
      </w:r>
      <w:r>
        <w:rPr>
          <w:rFonts w:ascii="Simplified Arabic" w:eastAsia="Times New Roman" w:hAnsi="Simplified Arabic" w:cs="Simplified Arabic"/>
          <w:sz w:val="28"/>
          <w:szCs w:val="28"/>
          <w:rtl/>
        </w:rPr>
        <w:t>حسب نظريات المعاينة الإحصائية</w:t>
      </w:r>
      <w:r>
        <w:rPr>
          <w:rFonts w:ascii="Simplified Arabic" w:eastAsia="Calibri" w:hAnsi="Simplified Arabic" w:cs="Simplified Arabic"/>
          <w:smallCaps/>
          <w:sz w:val="28"/>
          <w:szCs w:val="28"/>
          <w:rtl/>
        </w:rPr>
        <w:t>.</w:t>
      </w:r>
    </w:p>
    <w:p w:rsidR="00E02167" w:rsidRDefault="00E02167" w:rsidP="00E02167">
      <w:pPr>
        <w:spacing w:after="0" w:line="360" w:lineRule="auto"/>
        <w:ind w:right="-288" w:hanging="28"/>
        <w:jc w:val="both"/>
        <w:rPr>
          <w:rFonts w:ascii="Simplified Arabic" w:eastAsia="Calibri" w:hAnsi="Simplified Arabic" w:cs="Simplified Arabic"/>
          <w:smallCaps/>
          <w:sz w:val="28"/>
          <w:szCs w:val="28"/>
          <w:rtl/>
        </w:rPr>
      </w:pPr>
      <w:r>
        <w:rPr>
          <w:rFonts w:ascii="Simplified Arabic" w:eastAsia="Calibri" w:hAnsi="Simplified Arabic" w:cs="Simplified Arabic"/>
          <w:smallCaps/>
          <w:sz w:val="28"/>
          <w:szCs w:val="28"/>
          <w:rtl/>
        </w:rPr>
        <w:t xml:space="preserve">توصلت الدراسة إلى بعض النتائج أبرزها </w:t>
      </w:r>
      <w:r>
        <w:rPr>
          <w:rFonts w:ascii="Simplified Arabic" w:eastAsia="Times New Roman" w:hAnsi="Simplified Arabic" w:cs="Simplified Arabic"/>
          <w:sz w:val="28"/>
          <w:szCs w:val="28"/>
          <w:rtl/>
        </w:rPr>
        <w:t>وجود أثر ذو دلالة إحصائية عند مستوى دلالة</w:t>
      </w:r>
      <w:r>
        <w:rPr>
          <w:rFonts w:ascii="Simplified Arabic" w:eastAsia="Times New Roman" w:hAnsi="Simplified Arabic" w:cs="Simplified Arabic"/>
          <w:sz w:val="24"/>
          <w:szCs w:val="24"/>
          <w:rtl/>
        </w:rPr>
        <w:t>(</w:t>
      </w:r>
      <w:r>
        <w:rPr>
          <w:rFonts w:ascii="Simplified Arabic" w:eastAsia="Times New Roman" w:hAnsi="Simplified Arabic" w:cs="Simplified Arabic"/>
          <w:sz w:val="24"/>
          <w:szCs w:val="24"/>
        </w:rPr>
        <w:t>(0.05</w:t>
      </w:r>
      <w:r>
        <w:rPr>
          <w:rFonts w:ascii="Simplified Arabic" w:eastAsia="Times New Roman" w:hAnsi="Simplified Arabic" w:cs="Simplified Arabic"/>
          <w:sz w:val="28"/>
          <w:szCs w:val="28"/>
          <w:rtl/>
        </w:rPr>
        <w:t>للتسويق  الإلكتروني بدلالة أبعاده (الجذب، والتواصل، والاحتفاظ)، في السلوك الشرائي لعملاء الشركة اليمنية العمانية المتحدة للاتصالات</w:t>
      </w:r>
      <w:r>
        <w:rPr>
          <w:rFonts w:ascii="Simplified Arabic" w:eastAsia="Calibri" w:hAnsi="Simplified Arabic" w:cs="Simplified Arabic"/>
          <w:smallCaps/>
          <w:sz w:val="28"/>
          <w:szCs w:val="28"/>
          <w:rtl/>
        </w:rPr>
        <w:t>، وتبين عدم وجود</w:t>
      </w:r>
      <w:r>
        <w:rPr>
          <w:rFonts w:ascii="Simplified Arabic" w:eastAsia="Times New Roman" w:hAnsi="Simplified Arabic" w:cs="Simplified Arabic"/>
          <w:sz w:val="28"/>
          <w:szCs w:val="28"/>
          <w:rtl/>
        </w:rPr>
        <w:t xml:space="preserve"> أثر ذي دلالة إحصائية لكل من(المشاركة، والتعلم)، في السلوك الشرائي للعملاء، </w:t>
      </w:r>
      <w:r>
        <w:rPr>
          <w:rFonts w:ascii="Simplified Arabic" w:eastAsia="Calibri" w:hAnsi="Simplified Arabic" w:cs="Simplified Arabic"/>
          <w:smallCaps/>
          <w:sz w:val="28"/>
          <w:szCs w:val="28"/>
          <w:rtl/>
        </w:rPr>
        <w:t xml:space="preserve">وأظهرت الدراسة </w:t>
      </w:r>
      <w:r>
        <w:rPr>
          <w:rFonts w:ascii="Simplified Arabic" w:eastAsia="Times New Roman" w:hAnsi="Simplified Arabic" w:cs="Simplified Arabic"/>
          <w:sz w:val="28"/>
          <w:szCs w:val="28"/>
          <w:rtl/>
        </w:rPr>
        <w:t>ارتفاع مستوى ممارسة أبعاد التسويق الإلكتروني لدى الشركة، كما تبين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حرص الشركة في </w:t>
      </w:r>
      <w:r>
        <w:rPr>
          <w:rFonts w:ascii="Simplified Arabic" w:eastAsia="Times New Roman" w:hAnsi="Simplified Arabic" w:cs="Simplified Arabic"/>
          <w:sz w:val="28"/>
          <w:szCs w:val="28"/>
          <w:rtl/>
          <w:lang w:bidi="ar-IQ"/>
        </w:rPr>
        <w:t>تعزيز السلوك الشرائي للعملاء</w:t>
      </w:r>
      <w:r>
        <w:rPr>
          <w:rFonts w:ascii="Simplified Arabic" w:eastAsia="Times New Roman" w:hAnsi="Simplified Arabic" w:cs="Simplified Arabic"/>
          <w:sz w:val="28"/>
          <w:szCs w:val="28"/>
          <w:rtl/>
        </w:rPr>
        <w:t xml:space="preserve"> من خلال اهتمامها بمراحله بـ( الوعي والإدراك ,الرغبة وإثارة الاهتمام، الفعل الشرائي)</w:t>
      </w:r>
      <w:r>
        <w:rPr>
          <w:rFonts w:ascii="Simplified Arabic" w:eastAsia="Times New Roman" w:hAnsi="Simplified Arabic" w:cs="Simplified Arabic"/>
          <w:sz w:val="28"/>
          <w:szCs w:val="28"/>
        </w:rPr>
        <w:t>.</w:t>
      </w:r>
    </w:p>
    <w:p w:rsidR="00E02167" w:rsidRDefault="00E02167" w:rsidP="00E02167">
      <w:pPr>
        <w:tabs>
          <w:tab w:val="left" w:pos="327"/>
        </w:tabs>
        <w:spacing w:after="0" w:line="360" w:lineRule="auto"/>
        <w:ind w:right="-288"/>
        <w:jc w:val="both"/>
        <w:rPr>
          <w:rFonts w:ascii="Simplified Arabic" w:eastAsia="Calibri" w:hAnsi="Simplified Arabic" w:cs="Simplified Arabic"/>
          <w:sz w:val="28"/>
          <w:szCs w:val="28"/>
        </w:rPr>
      </w:pPr>
      <w:r>
        <w:rPr>
          <w:rFonts w:ascii="Simplified Arabic" w:eastAsia="Times New Roman" w:hAnsi="Simplified Arabic" w:cs="Simplified Arabic"/>
          <w:sz w:val="28"/>
          <w:szCs w:val="28"/>
          <w:rtl/>
        </w:rPr>
        <w:t xml:space="preserve">خلصت الدراسة إلى بعض التوصيات، منها: ينبغي على شركات الاتصالات اليمنية الاستغلال الأمثل للتسويق الالكتروني الذي يرفع مستوى السلوك الشرائي لعملاء الشركة، ويحقق الاعتماد على التقنيات الحديثة في رفع الحصة السوقية، بالإضافة إلى كسب زبائن جدد والحفاظ على رضا وولاء العميل من أجل رسم صورة حسنة عن الشركات المحلية، </w:t>
      </w:r>
      <w:r>
        <w:rPr>
          <w:rFonts w:ascii="Simplified Arabic" w:eastAsia="Calibri" w:hAnsi="Simplified Arabic" w:cs="Simplified Arabic"/>
          <w:sz w:val="28"/>
          <w:szCs w:val="28"/>
          <w:rtl/>
        </w:rPr>
        <w:t>وأن تكون أكثر حرصا على تنويع استراتيجياتها التسويقية لجذب العملاء، وتعزيز مستوى التفاعل معهم.</w:t>
      </w:r>
    </w:p>
    <w:p w:rsidR="00903BF9" w:rsidRPr="00E02167" w:rsidRDefault="00903BF9"/>
    <w:sectPr w:rsidR="00903BF9" w:rsidRPr="00E02167" w:rsidSect="00E0216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altName w:val="Segoe UI Semilight"/>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7"/>
    <w:rsid w:val="00903BF9"/>
    <w:rsid w:val="00A568C1"/>
    <w:rsid w:val="00E02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660CE-A9FC-450C-B14C-A6DF7F40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216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dc:creator>
  <cp:keywords/>
  <dc:description/>
  <cp:lastModifiedBy>Moka</cp:lastModifiedBy>
  <cp:revision>1</cp:revision>
  <dcterms:created xsi:type="dcterms:W3CDTF">2024-05-04T10:30:00Z</dcterms:created>
  <dcterms:modified xsi:type="dcterms:W3CDTF">2024-05-04T10:33:00Z</dcterms:modified>
</cp:coreProperties>
</file>