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9C852" w14:textId="77777777" w:rsidR="008A6034" w:rsidRDefault="008A6034" w:rsidP="008A6034">
      <w:pPr>
        <w:pStyle w:val="1"/>
        <w:widowControl w:val="0"/>
        <w:tabs>
          <w:tab w:val="left" w:pos="5102"/>
        </w:tabs>
        <w:jc w:val="center"/>
        <w:rPr>
          <w:rFonts w:asciiTheme="minorHAnsi" w:hAnsiTheme="minorHAnsi" w:cstheme="minorHAnsi"/>
          <w:b/>
          <w:bCs/>
          <w:sz w:val="44"/>
          <w:szCs w:val="44"/>
        </w:rPr>
      </w:pPr>
      <w:r>
        <w:rPr>
          <w:rFonts w:asciiTheme="minorHAnsi" w:hAnsiTheme="minorHAnsi" w:cstheme="minorHAnsi"/>
          <w:b/>
          <w:bCs/>
          <w:color w:val="FF0000"/>
          <w:sz w:val="44"/>
          <w:szCs w:val="44"/>
          <w:rtl/>
        </w:rPr>
        <w:t xml:space="preserve">دور مؤشرات المخاطر </w:t>
      </w:r>
      <w:r>
        <w:rPr>
          <w:rFonts w:asciiTheme="minorHAnsi" w:hAnsiTheme="minorHAnsi" w:cstheme="minorHAnsi"/>
          <w:b/>
          <w:bCs/>
          <w:color w:val="FF0000"/>
          <w:sz w:val="44"/>
          <w:szCs w:val="44"/>
        </w:rPr>
        <w:t>KRIs</w:t>
      </w:r>
      <w:r>
        <w:rPr>
          <w:rFonts w:asciiTheme="minorHAnsi" w:hAnsiTheme="minorHAnsi" w:cstheme="minorHAnsi"/>
          <w:b/>
          <w:bCs/>
          <w:color w:val="FF0000"/>
          <w:sz w:val="44"/>
          <w:szCs w:val="44"/>
          <w:rtl/>
        </w:rPr>
        <w:t xml:space="preserve"> في إدارة مستوى الخطر لدى البنوك </w:t>
      </w:r>
      <w:proofErr w:type="spellStart"/>
      <w:r>
        <w:rPr>
          <w:rFonts w:asciiTheme="minorHAnsi" w:hAnsiTheme="minorHAnsi" w:cstheme="minorHAnsi"/>
          <w:b/>
          <w:bCs/>
          <w:color w:val="FF0000"/>
          <w:sz w:val="44"/>
          <w:szCs w:val="44"/>
          <w:rtl/>
        </w:rPr>
        <w:t>التجاريه</w:t>
      </w:r>
      <w:proofErr w:type="spellEnd"/>
      <w:r>
        <w:rPr>
          <w:rFonts w:asciiTheme="minorHAnsi" w:hAnsiTheme="minorHAnsi" w:cstheme="minorHAnsi"/>
          <w:b/>
          <w:bCs/>
          <w:color w:val="FF0000"/>
          <w:sz w:val="44"/>
          <w:szCs w:val="44"/>
          <w:rtl/>
        </w:rPr>
        <w:t xml:space="preserve"> بالجمهورية اليمنية</w:t>
      </w:r>
    </w:p>
    <w:p w14:paraId="3C2E1408" w14:textId="77777777" w:rsidR="008A6034" w:rsidRPr="008A6034" w:rsidRDefault="008A6034" w:rsidP="008A6034">
      <w:pPr>
        <w:tabs>
          <w:tab w:val="left" w:pos="5102"/>
        </w:tabs>
        <w:spacing w:line="288" w:lineRule="auto"/>
        <w:textAlignment w:val="baseline"/>
        <w:rPr>
          <w:rFonts w:eastAsia="Arial" w:cstheme="minorHAnsi"/>
          <w:color w:val="44546A" w:themeColor="text2"/>
          <w:spacing w:val="-4"/>
          <w:kern w:val="24"/>
          <w:sz w:val="28"/>
          <w:szCs w:val="28"/>
          <w:lang w:bidi="ar-YE"/>
        </w:rPr>
      </w:pPr>
      <w:r w:rsidRPr="008A6034">
        <w:rPr>
          <w:rFonts w:eastAsia="Arial" w:cstheme="minorHAnsi"/>
          <w:b/>
          <w:bCs/>
          <w:color w:val="44546A" w:themeColor="text2"/>
          <w:spacing w:val="-4"/>
          <w:kern w:val="24"/>
          <w:sz w:val="28"/>
          <w:szCs w:val="28"/>
          <w:rtl/>
        </w:rPr>
        <w:t>إعداد الباحث</w:t>
      </w:r>
      <w:r w:rsidRPr="008A6034">
        <w:rPr>
          <w:rFonts w:eastAsia="Arial" w:cstheme="minorHAnsi"/>
          <w:b/>
          <w:bCs/>
          <w:color w:val="44546A" w:themeColor="text2"/>
          <w:spacing w:val="-4"/>
          <w:kern w:val="24"/>
          <w:sz w:val="28"/>
          <w:szCs w:val="28"/>
          <w:rtl/>
        </w:rPr>
        <w:br/>
        <w:t>خالد أحمد يحي حسين الجرادي</w:t>
      </w:r>
    </w:p>
    <w:p w14:paraId="4EC346A1" w14:textId="77777777" w:rsidR="008A6034" w:rsidRPr="008A6034" w:rsidRDefault="008A6034" w:rsidP="008A6034">
      <w:pPr>
        <w:tabs>
          <w:tab w:val="left" w:pos="5102"/>
        </w:tabs>
        <w:spacing w:line="288" w:lineRule="auto"/>
        <w:textAlignment w:val="baseline"/>
        <w:rPr>
          <w:rFonts w:eastAsia="Arial" w:cstheme="minorHAnsi"/>
          <w:color w:val="44546A" w:themeColor="text2"/>
          <w:spacing w:val="-4"/>
          <w:kern w:val="24"/>
          <w:sz w:val="28"/>
          <w:szCs w:val="28"/>
          <w:rtl/>
        </w:rPr>
      </w:pPr>
      <w:r w:rsidRPr="008A6034">
        <w:rPr>
          <w:rFonts w:eastAsia="Arial" w:cstheme="minorHAnsi"/>
          <w:b/>
          <w:bCs/>
          <w:color w:val="44546A" w:themeColor="text2"/>
          <w:spacing w:val="-4"/>
          <w:kern w:val="24"/>
          <w:sz w:val="28"/>
          <w:szCs w:val="28"/>
          <w:rtl/>
        </w:rPr>
        <w:t>إشراف</w:t>
      </w:r>
      <w:r w:rsidRPr="008A6034">
        <w:rPr>
          <w:rFonts w:eastAsia="Arial" w:cstheme="minorHAnsi"/>
          <w:b/>
          <w:bCs/>
          <w:color w:val="44546A" w:themeColor="text2"/>
          <w:spacing w:val="-4"/>
          <w:kern w:val="24"/>
          <w:sz w:val="28"/>
          <w:szCs w:val="28"/>
          <w:rtl/>
        </w:rPr>
        <w:br/>
        <w:t xml:space="preserve"> أ.د. محمد علي </w:t>
      </w:r>
      <w:proofErr w:type="spellStart"/>
      <w:r w:rsidRPr="008A6034">
        <w:rPr>
          <w:rFonts w:eastAsia="Arial" w:cstheme="minorHAnsi"/>
          <w:b/>
          <w:bCs/>
          <w:color w:val="44546A" w:themeColor="text2"/>
          <w:spacing w:val="-4"/>
          <w:kern w:val="24"/>
          <w:sz w:val="28"/>
          <w:szCs w:val="28"/>
          <w:rtl/>
        </w:rPr>
        <w:t>المكردي</w:t>
      </w:r>
      <w:proofErr w:type="spellEnd"/>
      <w:r w:rsidRPr="008A6034">
        <w:rPr>
          <w:rFonts w:eastAsia="Arial" w:cstheme="minorHAnsi"/>
          <w:b/>
          <w:bCs/>
          <w:color w:val="44546A" w:themeColor="text2"/>
          <w:spacing w:val="-4"/>
          <w:kern w:val="24"/>
          <w:sz w:val="28"/>
          <w:szCs w:val="28"/>
          <w:rtl/>
        </w:rPr>
        <w:br/>
        <w:t>أستاذ الاقتصاد المالي والمصرفي بجامعة ذمار</w:t>
      </w:r>
      <w:r w:rsidRPr="008A6034">
        <w:rPr>
          <w:rFonts w:eastAsia="Arial" w:cstheme="minorHAnsi"/>
          <w:b/>
          <w:bCs/>
          <w:color w:val="44546A" w:themeColor="text2"/>
          <w:spacing w:val="-4"/>
          <w:kern w:val="24"/>
          <w:sz w:val="28"/>
          <w:szCs w:val="28"/>
          <w:rtl/>
        </w:rPr>
        <w:br/>
        <w:t xml:space="preserve"> عميد كلية العلوم الإدارية جامعة الجيل الجديد</w:t>
      </w:r>
    </w:p>
    <w:p w14:paraId="7FD3D9E9" w14:textId="77777777" w:rsidR="008A6034" w:rsidRPr="008A6034" w:rsidRDefault="008A6034" w:rsidP="008A6034">
      <w:pPr>
        <w:tabs>
          <w:tab w:val="left" w:pos="5102"/>
        </w:tabs>
        <w:spacing w:line="288" w:lineRule="auto"/>
        <w:textAlignment w:val="baseline"/>
        <w:rPr>
          <w:rFonts w:eastAsia="Arial" w:cstheme="minorHAnsi"/>
          <w:color w:val="44546A" w:themeColor="text2"/>
          <w:spacing w:val="-4"/>
          <w:kern w:val="24"/>
          <w:sz w:val="28"/>
          <w:szCs w:val="28"/>
          <w:rtl/>
        </w:rPr>
      </w:pPr>
    </w:p>
    <w:p w14:paraId="0116DE2C" w14:textId="15DAA40A" w:rsidR="008A6034" w:rsidRPr="008A6034" w:rsidRDefault="008A6034" w:rsidP="008A6034">
      <w:pPr>
        <w:tabs>
          <w:tab w:val="left" w:pos="5102"/>
        </w:tabs>
        <w:spacing w:line="288" w:lineRule="auto"/>
        <w:textAlignment w:val="baseline"/>
        <w:rPr>
          <w:rFonts w:eastAsia="Arial" w:cstheme="minorHAnsi"/>
          <w:color w:val="44546A" w:themeColor="text2"/>
          <w:spacing w:val="-4"/>
          <w:kern w:val="24"/>
          <w:sz w:val="28"/>
          <w:szCs w:val="28"/>
          <w:lang w:bidi="ar-YE"/>
        </w:rPr>
      </w:pPr>
      <w:r w:rsidRPr="008A6034">
        <w:rPr>
          <w:rFonts w:eastAsia="Arial" w:cstheme="minorHAnsi"/>
          <w:color w:val="44546A" w:themeColor="text2"/>
          <w:spacing w:val="-4"/>
          <w:kern w:val="24"/>
          <w:sz w:val="28"/>
          <w:szCs w:val="28"/>
          <w:rtl/>
          <w:lang w:bidi="ar-YE"/>
        </w:rPr>
        <w:t xml:space="preserve">هدفت هذه الدراسة إلى </w:t>
      </w:r>
      <w:r w:rsidRPr="008A6034">
        <w:rPr>
          <w:rFonts w:eastAsia="Arial" w:cstheme="minorHAnsi"/>
          <w:color w:val="44546A" w:themeColor="text2"/>
          <w:spacing w:val="-4"/>
          <w:kern w:val="24"/>
          <w:sz w:val="28"/>
          <w:szCs w:val="28"/>
          <w:rtl/>
          <w:lang w:bidi="ar-IQ"/>
        </w:rPr>
        <w:t>دراسة واقع تطبيق مؤشرات المخاطر وإدارة مستوى الخطر في القطاع المصرفي بالجمهورية إضافة</w:t>
      </w:r>
      <w:r w:rsidRPr="008A6034">
        <w:rPr>
          <w:rFonts w:eastAsia="Arial" w:cstheme="minorHAnsi"/>
          <w:color w:val="44546A" w:themeColor="text2"/>
          <w:spacing w:val="-4"/>
          <w:kern w:val="24"/>
          <w:sz w:val="28"/>
          <w:szCs w:val="28"/>
          <w:rtl/>
        </w:rPr>
        <w:t xml:space="preserve"> إلى تحليل مدى الاستفادة منها عند تطبيق تلك المؤشرات الخاصة بالمخاطر على إستراتيجيات إدارة الخطر، كما هدفت إلى تحليل الاثار السلبية الناتجة عن عدم تطبيق مؤشرات المخاطر لدى البنوك التجارية في اليمن</w:t>
      </w:r>
      <w:r w:rsidRPr="008A6034">
        <w:rPr>
          <w:rFonts w:eastAsia="Arial" w:cstheme="minorHAnsi"/>
          <w:color w:val="44546A" w:themeColor="text2"/>
          <w:spacing w:val="-4"/>
          <w:kern w:val="24"/>
          <w:sz w:val="28"/>
          <w:szCs w:val="28"/>
          <w:rtl/>
          <w:lang w:bidi="ar-IQ"/>
        </w:rPr>
        <w:t>.</w:t>
      </w:r>
    </w:p>
    <w:p w14:paraId="6555DD87" w14:textId="77777777" w:rsidR="008A6034" w:rsidRPr="008A6034" w:rsidRDefault="008A6034" w:rsidP="008A6034">
      <w:pPr>
        <w:tabs>
          <w:tab w:val="left" w:pos="5102"/>
        </w:tabs>
        <w:spacing w:line="288" w:lineRule="auto"/>
        <w:textAlignment w:val="baseline"/>
        <w:rPr>
          <w:rFonts w:eastAsia="Arial" w:cstheme="minorHAnsi"/>
          <w:color w:val="44546A" w:themeColor="text2"/>
          <w:kern w:val="24"/>
          <w:sz w:val="28"/>
          <w:szCs w:val="28"/>
          <w:rtl/>
          <w:lang w:bidi="ar-YE"/>
        </w:rPr>
      </w:pPr>
      <w:r w:rsidRPr="008A6034">
        <w:rPr>
          <w:rFonts w:eastAsia="Arial" w:cstheme="minorHAnsi"/>
          <w:color w:val="44546A" w:themeColor="text2"/>
          <w:kern w:val="24"/>
          <w:sz w:val="28"/>
          <w:szCs w:val="28"/>
          <w:rtl/>
          <w:lang w:bidi="ar-YE"/>
        </w:rPr>
        <w:t xml:space="preserve">واعتمدت الدراسة على المنهج الوصفي التحليلي، واستخدمت الاستبانة أداة لجمع البيانات من أفراد عينة الدراسة، وبعد تحليل النتائج توصلت الدراسة إلى العديد من الاستنتاجات، أبرزها: </w:t>
      </w:r>
    </w:p>
    <w:p w14:paraId="2A206FF1" w14:textId="77777777" w:rsidR="008A6034" w:rsidRPr="008A6034" w:rsidRDefault="008A6034" w:rsidP="008A6034">
      <w:pPr>
        <w:tabs>
          <w:tab w:val="left" w:pos="5102"/>
        </w:tabs>
        <w:spacing w:line="288" w:lineRule="auto"/>
        <w:textAlignment w:val="baseline"/>
        <w:rPr>
          <w:rFonts w:eastAsia="Arial" w:cstheme="minorHAnsi"/>
          <w:color w:val="44546A" w:themeColor="text2"/>
          <w:spacing w:val="-4"/>
          <w:kern w:val="24"/>
          <w:sz w:val="28"/>
          <w:szCs w:val="28"/>
          <w:rtl/>
          <w:lang w:bidi="ar-YE"/>
        </w:rPr>
      </w:pPr>
      <w:r w:rsidRPr="008A6034">
        <w:rPr>
          <w:rFonts w:eastAsia="Arial" w:cstheme="minorHAnsi"/>
          <w:color w:val="44546A" w:themeColor="text2"/>
          <w:spacing w:val="-4"/>
          <w:kern w:val="24"/>
          <w:sz w:val="28"/>
          <w:szCs w:val="28"/>
          <w:rtl/>
          <w:lang w:bidi="ar-YE"/>
        </w:rPr>
        <w:t xml:space="preserve"> توجد علاقة ذات أثر إيجابي بين تطبيق كلا من (مؤشر سعر الصرف، ومؤشر سعر الفائدة، ومؤشر التركز الائتماني</w:t>
      </w:r>
      <w:r w:rsidRPr="008A6034">
        <w:rPr>
          <w:rFonts w:eastAsia="Arial" w:cstheme="minorHAnsi"/>
          <w:color w:val="44546A" w:themeColor="text2"/>
          <w:spacing w:val="-4"/>
          <w:kern w:val="24"/>
          <w:sz w:val="28"/>
          <w:szCs w:val="28"/>
          <w:rtl/>
        </w:rPr>
        <w:t xml:space="preserve">، ومؤشر هيكل المحفظة الائتمانية والاستثمارية كمدد وأنواع، ومؤشر المنافسة السوقية) </w:t>
      </w:r>
      <w:r w:rsidRPr="008A6034">
        <w:rPr>
          <w:rFonts w:eastAsia="Arial" w:cstheme="minorHAnsi"/>
          <w:color w:val="44546A" w:themeColor="text2"/>
          <w:spacing w:val="-4"/>
          <w:kern w:val="24"/>
          <w:sz w:val="28"/>
          <w:szCs w:val="28"/>
          <w:rtl/>
          <w:lang w:bidi="ar-YE"/>
        </w:rPr>
        <w:t>وإدارة مستوى الخطر من حيث القياس والرقابة والتقييم لدى البنوك التجارية في اليمن، كما توجد فروق معنوية ذات أثر إيجابي حول تقديرات مستوى تطبيق مؤشرات المخاطر لدى البنوك التجارية في اليمن يعزى للمتغيرات الشخصية والديمغرافية..</w:t>
      </w:r>
    </w:p>
    <w:p w14:paraId="39734512" w14:textId="474717E5" w:rsidR="008A6034" w:rsidRPr="008A6034" w:rsidRDefault="008A6034" w:rsidP="008A6034">
      <w:pPr>
        <w:tabs>
          <w:tab w:val="left" w:pos="5102"/>
        </w:tabs>
        <w:spacing w:line="288" w:lineRule="auto"/>
        <w:textAlignment w:val="baseline"/>
        <w:rPr>
          <w:rFonts w:eastAsia="Arial" w:cstheme="minorHAnsi"/>
          <w:color w:val="44546A" w:themeColor="text2"/>
          <w:spacing w:val="-4"/>
          <w:kern w:val="24"/>
          <w:sz w:val="28"/>
          <w:szCs w:val="28"/>
          <w:rtl/>
          <w:lang w:bidi="ar-YE"/>
        </w:rPr>
      </w:pPr>
      <w:r w:rsidRPr="008A6034">
        <w:rPr>
          <w:rFonts w:eastAsia="Arial" w:cstheme="minorHAnsi"/>
          <w:color w:val="44546A" w:themeColor="text2"/>
          <w:spacing w:val="-4"/>
          <w:kern w:val="24"/>
          <w:sz w:val="28"/>
          <w:szCs w:val="28"/>
          <w:rtl/>
          <w:lang w:bidi="ar-YE"/>
        </w:rPr>
        <w:t xml:space="preserve">وقد أوصت الدراسة بأهمية اهتمام البنوك بأدوات و وسائل القياس و </w:t>
      </w:r>
      <w:r w:rsidRPr="008A6034">
        <w:rPr>
          <w:rFonts w:eastAsia="Arial" w:cstheme="minorHAnsi" w:hint="cs"/>
          <w:color w:val="44546A" w:themeColor="text2"/>
          <w:spacing w:val="-4"/>
          <w:kern w:val="24"/>
          <w:sz w:val="28"/>
          <w:szCs w:val="28"/>
          <w:rtl/>
          <w:lang w:bidi="ar-YE"/>
        </w:rPr>
        <w:t>الرقابة</w:t>
      </w:r>
      <w:r w:rsidRPr="008A6034">
        <w:rPr>
          <w:rFonts w:eastAsia="Arial" w:cstheme="minorHAnsi"/>
          <w:color w:val="44546A" w:themeColor="text2"/>
          <w:spacing w:val="-4"/>
          <w:kern w:val="24"/>
          <w:sz w:val="28"/>
          <w:szCs w:val="28"/>
          <w:rtl/>
          <w:lang w:bidi="ar-YE"/>
        </w:rPr>
        <w:t xml:space="preserve"> على عمليات البيع و الشراء من خلال التقارير و </w:t>
      </w:r>
      <w:r w:rsidRPr="008A6034">
        <w:rPr>
          <w:rFonts w:eastAsia="Arial" w:cstheme="minorHAnsi" w:hint="cs"/>
          <w:color w:val="44546A" w:themeColor="text2"/>
          <w:spacing w:val="-4"/>
          <w:kern w:val="24"/>
          <w:sz w:val="28"/>
          <w:szCs w:val="28"/>
          <w:rtl/>
          <w:lang w:bidi="ar-YE"/>
        </w:rPr>
        <w:t>الأنظمة</w:t>
      </w:r>
      <w:r w:rsidRPr="008A6034">
        <w:rPr>
          <w:rFonts w:eastAsia="Arial" w:cstheme="minorHAnsi"/>
          <w:color w:val="44546A" w:themeColor="text2"/>
          <w:spacing w:val="-4"/>
          <w:kern w:val="24"/>
          <w:sz w:val="28"/>
          <w:szCs w:val="28"/>
          <w:rtl/>
          <w:lang w:bidi="ar-YE"/>
        </w:rPr>
        <w:t xml:space="preserve"> </w:t>
      </w:r>
      <w:r w:rsidRPr="008A6034">
        <w:rPr>
          <w:rFonts w:eastAsia="Arial" w:cstheme="minorHAnsi" w:hint="cs"/>
          <w:color w:val="44546A" w:themeColor="text2"/>
          <w:spacing w:val="-4"/>
          <w:kern w:val="24"/>
          <w:sz w:val="28"/>
          <w:szCs w:val="28"/>
          <w:rtl/>
          <w:lang w:bidi="ar-YE"/>
        </w:rPr>
        <w:t>الحديثة</w:t>
      </w:r>
      <w:r w:rsidRPr="008A6034">
        <w:rPr>
          <w:rFonts w:eastAsia="Arial" w:cstheme="minorHAnsi"/>
          <w:color w:val="44546A" w:themeColor="text2"/>
          <w:spacing w:val="-4"/>
          <w:kern w:val="24"/>
          <w:sz w:val="28"/>
          <w:szCs w:val="28"/>
          <w:rtl/>
          <w:lang w:bidi="ar-YE"/>
        </w:rPr>
        <w:t xml:space="preserve"> التي تساعد على ذلك، والتحكم بمستوى مخاطر الائتمان بواسطة المنهجية الحديثة للمخاطر القائمة على وضع مؤشرات للقياس و </w:t>
      </w:r>
      <w:r w:rsidRPr="008A6034">
        <w:rPr>
          <w:rFonts w:eastAsia="Arial" w:cstheme="minorHAnsi" w:hint="cs"/>
          <w:color w:val="44546A" w:themeColor="text2"/>
          <w:spacing w:val="-4"/>
          <w:kern w:val="24"/>
          <w:sz w:val="28"/>
          <w:szCs w:val="28"/>
          <w:rtl/>
          <w:lang w:bidi="ar-YE"/>
        </w:rPr>
        <w:t>المتابعة</w:t>
      </w:r>
      <w:r w:rsidRPr="008A6034">
        <w:rPr>
          <w:rFonts w:eastAsia="Arial" w:cstheme="minorHAnsi"/>
          <w:color w:val="44546A" w:themeColor="text2"/>
          <w:spacing w:val="-4"/>
          <w:kern w:val="24"/>
          <w:sz w:val="28"/>
          <w:szCs w:val="28"/>
          <w:rtl/>
          <w:lang w:bidi="ar-YE"/>
        </w:rPr>
        <w:t xml:space="preserve"> و التقييم لمعرفة مستوى الخطر الحقيقي لمخاطر </w:t>
      </w:r>
      <w:r w:rsidRPr="008A6034">
        <w:rPr>
          <w:rFonts w:eastAsia="Arial" w:cstheme="minorHAnsi" w:hint="cs"/>
          <w:color w:val="44546A" w:themeColor="text2"/>
          <w:spacing w:val="-4"/>
          <w:kern w:val="24"/>
          <w:sz w:val="28"/>
          <w:szCs w:val="28"/>
          <w:rtl/>
          <w:lang w:bidi="ar-YE"/>
        </w:rPr>
        <w:t>الائتمان</w:t>
      </w:r>
      <w:r>
        <w:rPr>
          <w:rFonts w:eastAsia="Arial" w:cstheme="minorHAnsi" w:hint="cs"/>
          <w:color w:val="44546A" w:themeColor="text2"/>
          <w:spacing w:val="-4"/>
          <w:kern w:val="24"/>
          <w:sz w:val="28"/>
          <w:szCs w:val="28"/>
          <w:rtl/>
          <w:lang w:bidi="ar-YE"/>
        </w:rPr>
        <w:t xml:space="preserve"> </w:t>
      </w:r>
      <w:r w:rsidRPr="008A6034">
        <w:rPr>
          <w:rFonts w:eastAsia="Arial" w:cstheme="minorHAnsi"/>
          <w:color w:val="44546A" w:themeColor="text2"/>
          <w:spacing w:val="-4"/>
          <w:kern w:val="24"/>
          <w:sz w:val="28"/>
          <w:szCs w:val="28"/>
          <w:rtl/>
          <w:lang w:bidi="ar-YE"/>
        </w:rPr>
        <w:t xml:space="preserve">،والاهتمام بمؤشرات مخاطر </w:t>
      </w:r>
      <w:r w:rsidRPr="008A6034">
        <w:rPr>
          <w:rFonts w:eastAsia="Arial" w:cstheme="minorHAnsi" w:hint="cs"/>
          <w:color w:val="44546A" w:themeColor="text2"/>
          <w:spacing w:val="-4"/>
          <w:kern w:val="24"/>
          <w:sz w:val="28"/>
          <w:szCs w:val="28"/>
          <w:rtl/>
          <w:lang w:bidi="ar-YE"/>
        </w:rPr>
        <w:t>المحفظة</w:t>
      </w:r>
      <w:r w:rsidRPr="008A6034">
        <w:rPr>
          <w:rFonts w:eastAsia="Arial" w:cstheme="minorHAnsi"/>
          <w:color w:val="44546A" w:themeColor="text2"/>
          <w:spacing w:val="-4"/>
          <w:kern w:val="24"/>
          <w:sz w:val="28"/>
          <w:szCs w:val="28"/>
          <w:rtl/>
          <w:lang w:bidi="ar-YE"/>
        </w:rPr>
        <w:t xml:space="preserve"> </w:t>
      </w:r>
      <w:r w:rsidRPr="008A6034">
        <w:rPr>
          <w:rFonts w:eastAsia="Arial" w:cstheme="minorHAnsi" w:hint="cs"/>
          <w:color w:val="44546A" w:themeColor="text2"/>
          <w:spacing w:val="-4"/>
          <w:kern w:val="24"/>
          <w:sz w:val="28"/>
          <w:szCs w:val="28"/>
          <w:rtl/>
          <w:lang w:bidi="ar-YE"/>
        </w:rPr>
        <w:t>الاستثمارية</w:t>
      </w:r>
      <w:r w:rsidRPr="008A6034">
        <w:rPr>
          <w:rFonts w:eastAsia="Arial" w:cstheme="minorHAnsi"/>
          <w:color w:val="44546A" w:themeColor="text2"/>
          <w:spacing w:val="-4"/>
          <w:kern w:val="24"/>
          <w:sz w:val="28"/>
          <w:szCs w:val="28"/>
          <w:rtl/>
          <w:lang w:bidi="ar-YE"/>
        </w:rPr>
        <w:t xml:space="preserve"> و مؤشرات </w:t>
      </w:r>
      <w:r w:rsidRPr="008A6034">
        <w:rPr>
          <w:rFonts w:eastAsia="Arial" w:cstheme="minorHAnsi" w:hint="cs"/>
          <w:color w:val="44546A" w:themeColor="text2"/>
          <w:spacing w:val="-4"/>
          <w:kern w:val="24"/>
          <w:sz w:val="28"/>
          <w:szCs w:val="28"/>
          <w:rtl/>
          <w:lang w:bidi="ar-YE"/>
        </w:rPr>
        <w:t>المحفظة</w:t>
      </w:r>
      <w:r w:rsidRPr="008A6034">
        <w:rPr>
          <w:rFonts w:eastAsia="Arial" w:cstheme="minorHAnsi"/>
          <w:color w:val="44546A" w:themeColor="text2"/>
          <w:spacing w:val="-4"/>
          <w:kern w:val="24"/>
          <w:sz w:val="28"/>
          <w:szCs w:val="28"/>
          <w:rtl/>
          <w:lang w:bidi="ar-YE"/>
        </w:rPr>
        <w:t xml:space="preserve"> </w:t>
      </w:r>
      <w:r w:rsidRPr="008A6034">
        <w:rPr>
          <w:rFonts w:eastAsia="Arial" w:cstheme="minorHAnsi" w:hint="cs"/>
          <w:color w:val="44546A" w:themeColor="text2"/>
          <w:spacing w:val="-4"/>
          <w:kern w:val="24"/>
          <w:sz w:val="28"/>
          <w:szCs w:val="28"/>
          <w:rtl/>
          <w:lang w:bidi="ar-YE"/>
        </w:rPr>
        <w:t>الائتمانية</w:t>
      </w:r>
      <w:r w:rsidRPr="008A6034">
        <w:rPr>
          <w:rFonts w:eastAsia="Arial" w:cstheme="minorHAnsi"/>
          <w:color w:val="44546A" w:themeColor="text2"/>
          <w:spacing w:val="-4"/>
          <w:kern w:val="24"/>
          <w:sz w:val="28"/>
          <w:szCs w:val="28"/>
          <w:rtl/>
          <w:lang w:bidi="ar-YE"/>
        </w:rPr>
        <w:t xml:space="preserve"> سيؤدي إلى تنويع </w:t>
      </w:r>
      <w:r w:rsidRPr="008A6034">
        <w:rPr>
          <w:rFonts w:eastAsia="Arial" w:cstheme="minorHAnsi" w:hint="cs"/>
          <w:color w:val="44546A" w:themeColor="text2"/>
          <w:spacing w:val="-4"/>
          <w:kern w:val="24"/>
          <w:sz w:val="28"/>
          <w:szCs w:val="28"/>
          <w:rtl/>
          <w:lang w:bidi="ar-YE"/>
        </w:rPr>
        <w:t>المخاطر كما</w:t>
      </w:r>
      <w:r w:rsidRPr="008A6034">
        <w:rPr>
          <w:rFonts w:eastAsia="Arial" w:cstheme="minorHAnsi"/>
          <w:color w:val="44546A" w:themeColor="text2"/>
          <w:spacing w:val="-4"/>
          <w:kern w:val="24"/>
          <w:sz w:val="28"/>
          <w:szCs w:val="28"/>
          <w:rtl/>
          <w:lang w:bidi="ar-YE"/>
        </w:rPr>
        <w:t xml:space="preserve"> أن تطبيق أدوات </w:t>
      </w:r>
      <w:r w:rsidRPr="008A6034">
        <w:rPr>
          <w:rFonts w:eastAsia="Arial" w:cstheme="minorHAnsi" w:hint="cs"/>
          <w:color w:val="44546A" w:themeColor="text2"/>
          <w:spacing w:val="-4"/>
          <w:kern w:val="24"/>
          <w:sz w:val="28"/>
          <w:szCs w:val="28"/>
          <w:rtl/>
          <w:lang w:bidi="ar-YE"/>
        </w:rPr>
        <w:t>المنهجية</w:t>
      </w:r>
      <w:r w:rsidRPr="008A6034">
        <w:rPr>
          <w:rFonts w:eastAsia="Arial" w:cstheme="minorHAnsi"/>
          <w:color w:val="44546A" w:themeColor="text2"/>
          <w:spacing w:val="-4"/>
          <w:kern w:val="24"/>
          <w:sz w:val="28"/>
          <w:szCs w:val="28"/>
          <w:rtl/>
          <w:lang w:bidi="ar-YE"/>
        </w:rPr>
        <w:t xml:space="preserve"> </w:t>
      </w:r>
      <w:r w:rsidRPr="008A6034">
        <w:rPr>
          <w:rFonts w:eastAsia="Arial" w:cstheme="minorHAnsi" w:hint="cs"/>
          <w:color w:val="44546A" w:themeColor="text2"/>
          <w:spacing w:val="-4"/>
          <w:kern w:val="24"/>
          <w:sz w:val="28"/>
          <w:szCs w:val="28"/>
          <w:rtl/>
          <w:lang w:bidi="ar-YE"/>
        </w:rPr>
        <w:t>الحديثة</w:t>
      </w:r>
      <w:r w:rsidRPr="008A6034">
        <w:rPr>
          <w:rFonts w:eastAsia="Arial" w:cstheme="minorHAnsi"/>
          <w:color w:val="44546A" w:themeColor="text2"/>
          <w:spacing w:val="-4"/>
          <w:kern w:val="24"/>
          <w:sz w:val="28"/>
          <w:szCs w:val="28"/>
          <w:rtl/>
          <w:lang w:bidi="ar-YE"/>
        </w:rPr>
        <w:t xml:space="preserve"> لإدارة المخاطر سيخفض </w:t>
      </w:r>
      <w:r w:rsidRPr="008A6034">
        <w:rPr>
          <w:rFonts w:eastAsia="Arial" w:cstheme="minorHAnsi" w:hint="cs"/>
          <w:color w:val="44546A" w:themeColor="text2"/>
          <w:spacing w:val="-4"/>
          <w:kern w:val="24"/>
          <w:sz w:val="28"/>
          <w:szCs w:val="28"/>
          <w:rtl/>
          <w:lang w:bidi="ar-YE"/>
        </w:rPr>
        <w:t>الخسائر مم</w:t>
      </w:r>
      <w:r w:rsidRPr="008A6034">
        <w:rPr>
          <w:rFonts w:eastAsia="Arial" w:cstheme="minorHAnsi" w:hint="eastAsia"/>
          <w:color w:val="44546A" w:themeColor="text2"/>
          <w:spacing w:val="-4"/>
          <w:kern w:val="24"/>
          <w:sz w:val="28"/>
          <w:szCs w:val="28"/>
          <w:rtl/>
          <w:lang w:bidi="ar-YE"/>
        </w:rPr>
        <w:t>ا</w:t>
      </w:r>
      <w:r w:rsidRPr="008A6034">
        <w:rPr>
          <w:rFonts w:eastAsia="Arial" w:cstheme="minorHAnsi"/>
          <w:color w:val="44546A" w:themeColor="text2"/>
          <w:spacing w:val="-4"/>
          <w:kern w:val="24"/>
          <w:sz w:val="28"/>
          <w:szCs w:val="28"/>
          <w:rtl/>
          <w:lang w:bidi="ar-YE"/>
        </w:rPr>
        <w:t xml:space="preserve"> سيمنح العملاء شعورا بحصافة القرار </w:t>
      </w:r>
      <w:r w:rsidRPr="008A6034">
        <w:rPr>
          <w:rFonts w:eastAsia="Arial" w:cstheme="minorHAnsi" w:hint="cs"/>
          <w:color w:val="44546A" w:themeColor="text2"/>
          <w:spacing w:val="-4"/>
          <w:kern w:val="24"/>
          <w:sz w:val="28"/>
          <w:szCs w:val="28"/>
          <w:rtl/>
          <w:lang w:bidi="ar-YE"/>
        </w:rPr>
        <w:t>الاستثماري</w:t>
      </w:r>
      <w:r w:rsidRPr="008A6034">
        <w:rPr>
          <w:rFonts w:eastAsia="Arial" w:cstheme="minorHAnsi"/>
          <w:color w:val="44546A" w:themeColor="text2"/>
          <w:spacing w:val="-4"/>
          <w:kern w:val="24"/>
          <w:sz w:val="28"/>
          <w:szCs w:val="28"/>
          <w:rtl/>
          <w:lang w:bidi="ar-YE"/>
        </w:rPr>
        <w:t xml:space="preserve"> و بالتالي ثقه أكبر و حصه سوقيه أكبر.</w:t>
      </w:r>
    </w:p>
    <w:p w14:paraId="4799034B" w14:textId="42281F33" w:rsidR="00B40AA5" w:rsidRPr="008A6034" w:rsidRDefault="00B40AA5" w:rsidP="008A6034">
      <w:pPr>
        <w:rPr>
          <w:rFonts w:cstheme="minorHAnsi"/>
        </w:rPr>
      </w:pPr>
    </w:p>
    <w:sectPr w:rsidR="00B40AA5" w:rsidRPr="008A6034" w:rsidSect="00B40AA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7505A"/>
    <w:multiLevelType w:val="hybridMultilevel"/>
    <w:tmpl w:val="98349988"/>
    <w:lvl w:ilvl="0" w:tplc="811A2F12">
      <w:start w:val="1"/>
      <w:numFmt w:val="bullet"/>
      <w:lvlText w:val="■"/>
      <w:lvlJc w:val="left"/>
      <w:pPr>
        <w:tabs>
          <w:tab w:val="num" w:pos="720"/>
        </w:tabs>
        <w:ind w:left="720" w:hanging="360"/>
      </w:pPr>
      <w:rPr>
        <w:rFonts w:ascii="Arial" w:hAnsi="Arial" w:hint="default"/>
      </w:rPr>
    </w:lvl>
    <w:lvl w:ilvl="1" w:tplc="2686564A" w:tentative="1">
      <w:start w:val="1"/>
      <w:numFmt w:val="bullet"/>
      <w:lvlText w:val="■"/>
      <w:lvlJc w:val="left"/>
      <w:pPr>
        <w:tabs>
          <w:tab w:val="num" w:pos="1440"/>
        </w:tabs>
        <w:ind w:left="1440" w:hanging="360"/>
      </w:pPr>
      <w:rPr>
        <w:rFonts w:ascii="Arial" w:hAnsi="Arial" w:hint="default"/>
      </w:rPr>
    </w:lvl>
    <w:lvl w:ilvl="2" w:tplc="EA2C3688" w:tentative="1">
      <w:start w:val="1"/>
      <w:numFmt w:val="bullet"/>
      <w:lvlText w:val="■"/>
      <w:lvlJc w:val="left"/>
      <w:pPr>
        <w:tabs>
          <w:tab w:val="num" w:pos="2160"/>
        </w:tabs>
        <w:ind w:left="2160" w:hanging="360"/>
      </w:pPr>
      <w:rPr>
        <w:rFonts w:ascii="Arial" w:hAnsi="Arial" w:hint="default"/>
      </w:rPr>
    </w:lvl>
    <w:lvl w:ilvl="3" w:tplc="5E44E0C0" w:tentative="1">
      <w:start w:val="1"/>
      <w:numFmt w:val="bullet"/>
      <w:lvlText w:val="■"/>
      <w:lvlJc w:val="left"/>
      <w:pPr>
        <w:tabs>
          <w:tab w:val="num" w:pos="2880"/>
        </w:tabs>
        <w:ind w:left="2880" w:hanging="360"/>
      </w:pPr>
      <w:rPr>
        <w:rFonts w:ascii="Arial" w:hAnsi="Arial" w:hint="default"/>
      </w:rPr>
    </w:lvl>
    <w:lvl w:ilvl="4" w:tplc="DECA6C1A" w:tentative="1">
      <w:start w:val="1"/>
      <w:numFmt w:val="bullet"/>
      <w:lvlText w:val="■"/>
      <w:lvlJc w:val="left"/>
      <w:pPr>
        <w:tabs>
          <w:tab w:val="num" w:pos="3600"/>
        </w:tabs>
        <w:ind w:left="3600" w:hanging="360"/>
      </w:pPr>
      <w:rPr>
        <w:rFonts w:ascii="Arial" w:hAnsi="Arial" w:hint="default"/>
      </w:rPr>
    </w:lvl>
    <w:lvl w:ilvl="5" w:tplc="7E248896" w:tentative="1">
      <w:start w:val="1"/>
      <w:numFmt w:val="bullet"/>
      <w:lvlText w:val="■"/>
      <w:lvlJc w:val="left"/>
      <w:pPr>
        <w:tabs>
          <w:tab w:val="num" w:pos="4320"/>
        </w:tabs>
        <w:ind w:left="4320" w:hanging="360"/>
      </w:pPr>
      <w:rPr>
        <w:rFonts w:ascii="Arial" w:hAnsi="Arial" w:hint="default"/>
      </w:rPr>
    </w:lvl>
    <w:lvl w:ilvl="6" w:tplc="4384833A" w:tentative="1">
      <w:start w:val="1"/>
      <w:numFmt w:val="bullet"/>
      <w:lvlText w:val="■"/>
      <w:lvlJc w:val="left"/>
      <w:pPr>
        <w:tabs>
          <w:tab w:val="num" w:pos="5040"/>
        </w:tabs>
        <w:ind w:left="5040" w:hanging="360"/>
      </w:pPr>
      <w:rPr>
        <w:rFonts w:ascii="Arial" w:hAnsi="Arial" w:hint="default"/>
      </w:rPr>
    </w:lvl>
    <w:lvl w:ilvl="7" w:tplc="C780F8EE" w:tentative="1">
      <w:start w:val="1"/>
      <w:numFmt w:val="bullet"/>
      <w:lvlText w:val="■"/>
      <w:lvlJc w:val="left"/>
      <w:pPr>
        <w:tabs>
          <w:tab w:val="num" w:pos="5760"/>
        </w:tabs>
        <w:ind w:left="5760" w:hanging="360"/>
      </w:pPr>
      <w:rPr>
        <w:rFonts w:ascii="Arial" w:hAnsi="Arial" w:hint="default"/>
      </w:rPr>
    </w:lvl>
    <w:lvl w:ilvl="8" w:tplc="6D420CE2" w:tentative="1">
      <w:start w:val="1"/>
      <w:numFmt w:val="bullet"/>
      <w:lvlText w:val="■"/>
      <w:lvlJc w:val="left"/>
      <w:pPr>
        <w:tabs>
          <w:tab w:val="num" w:pos="6480"/>
        </w:tabs>
        <w:ind w:left="6480" w:hanging="360"/>
      </w:pPr>
      <w:rPr>
        <w:rFonts w:ascii="Arial" w:hAnsi="Arial" w:hint="default"/>
      </w:rPr>
    </w:lvl>
  </w:abstractNum>
  <w:num w:numId="1" w16cid:durableId="15209652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034"/>
    <w:rsid w:val="008A6034"/>
    <w:rsid w:val="00B40A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D0943"/>
  <w15:chartTrackingRefBased/>
  <w15:docId w15:val="{10294245-65FF-482F-B02B-2F0A42CE2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6034"/>
    <w:pPr>
      <w:bidi w:val="0"/>
      <w:spacing w:after="0" w:line="240" w:lineRule="auto"/>
      <w:ind w:left="720"/>
      <w:contextualSpacing/>
    </w:pPr>
    <w:rPr>
      <w:rFonts w:ascii="Times New Roman" w:eastAsiaTheme="minorEastAsia" w:hAnsi="Times New Roman" w:cs="Times New Roman"/>
      <w:kern w:val="0"/>
      <w:sz w:val="24"/>
      <w:szCs w:val="24"/>
      <w14:ligatures w14:val="none"/>
    </w:rPr>
  </w:style>
  <w:style w:type="paragraph" w:customStyle="1" w:styleId="1">
    <w:name w:val="1"/>
    <w:basedOn w:val="a"/>
    <w:next w:val="a"/>
    <w:rsid w:val="008A6034"/>
    <w:pPr>
      <w:tabs>
        <w:tab w:val="center" w:pos="4153"/>
        <w:tab w:val="right" w:pos="8306"/>
      </w:tabs>
      <w:spacing w:after="0" w:line="276" w:lineRule="auto"/>
      <w:jc w:val="right"/>
    </w:pPr>
    <w:rPr>
      <w:rFonts w:ascii="Arial" w:eastAsia="Arial" w:hAnsi="Arial" w:cs="Simplified Arabic"/>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0696">
      <w:bodyDiv w:val="1"/>
      <w:marLeft w:val="0"/>
      <w:marRight w:val="0"/>
      <w:marTop w:val="0"/>
      <w:marBottom w:val="0"/>
      <w:divBdr>
        <w:top w:val="none" w:sz="0" w:space="0" w:color="auto"/>
        <w:left w:val="none" w:sz="0" w:space="0" w:color="auto"/>
        <w:bottom w:val="none" w:sz="0" w:space="0" w:color="auto"/>
        <w:right w:val="none" w:sz="0" w:space="0" w:color="auto"/>
      </w:divBdr>
    </w:div>
    <w:div w:id="189203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251</Words>
  <Characters>1433</Characters>
  <Application>Microsoft Office Word</Application>
  <DocSecurity>0</DocSecurity>
  <Lines>11</Lines>
  <Paragraphs>3</Paragraphs>
  <ScaleCrop>false</ScaleCrop>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Khalid Aljaradi</dc:creator>
  <cp:keywords/>
  <dc:description/>
  <cp:lastModifiedBy>Khalid Aljaradi</cp:lastModifiedBy>
  <cp:revision>2</cp:revision>
  <dcterms:created xsi:type="dcterms:W3CDTF">2023-12-29T14:34:00Z</dcterms:created>
  <dcterms:modified xsi:type="dcterms:W3CDTF">2023-12-29T14:38:00Z</dcterms:modified>
</cp:coreProperties>
</file>