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bidi w:val="1"/>
        <w:numPr>
          <w:ilvl w:val="0"/>
          <w:numId w:val="0"/>
        </w:numPr>
        <w:jc w:val="center"/>
        <w:spacing w:lineRule="auto" w:line="240" w:before="0" w:after="160"/>
        <w:pageBreakBefore w:val="0"/>
        <w:ind w:left="0" w:firstLine="0"/>
        <w:rPr>
          <w:rtl/>
          <w:rStyle w:val="PO1"/>
          <w:spacing w:val="0"/>
          <w:color w:val="002060"/>
          <w:sz w:val="24"/>
          <w:szCs w:val="24"/>
          <w:rFonts w:ascii="PT Bold Heading" w:eastAsia="Calibri" w:hAnsi="Calibri" w:hint="default"/>
        </w:rPr>
        <w:wordWrap w:val="off"/>
        <w:snapToGrid w:val="off"/>
        <w:autoSpaceDE w:val="1"/>
        <w:autoSpaceDN w:val="1"/>
      </w:pPr>
      <w:r>
        <w:rPr>
          <w:rtl/>
          <w:rStyle w:val="PO1"/>
          <w:spacing w:val="0"/>
          <w:color w:val="002060"/>
          <w:sz w:val="24"/>
          <w:szCs w:val="24"/>
          <w:rFonts w:ascii="PT Bold Heading" w:eastAsia="Calibri" w:hAnsi="Calibri" w:hint="default"/>
        </w:rPr>
        <w:t xml:space="preserve">دور المسؤولية الاجتماعية لمؤسسات التمويل الصغير و الأصغر في تحقيق ريادة الأعمال في </w:t>
      </w:r>
      <w:r>
        <w:rPr>
          <w:rtl/>
          <w:rStyle w:val="PO1"/>
          <w:spacing w:val="0"/>
          <w:color w:val="002060"/>
          <w:sz w:val="24"/>
          <w:szCs w:val="24"/>
          <w:rFonts w:ascii="PT Bold Heading" w:eastAsia="Calibri" w:hAnsi="Calibri" w:hint="default"/>
        </w:rPr>
        <w:t xml:space="preserve">الجمهورية اليمنية</w:t>
      </w:r>
    </w:p>
    <w:p>
      <w:pPr>
        <w:bidi w:val="1"/>
        <w:numPr>
          <w:ilvl w:val="0"/>
          <w:numId w:val="0"/>
        </w:numPr>
        <w:jc w:val="distribute"/>
        <w:spacing w:lineRule="auto" w:line="240" w:before="0" w:after="160"/>
        <w:pageBreakBefore w:val="0"/>
        <w:ind w:left="0" w:firstLine="0"/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wordWrap w:val="off"/>
        <w:snapToGrid w:val="off"/>
        <w:autoSpaceDE w:val="1"/>
        <w:autoSpaceDN w:val="1"/>
      </w:pPr>
      <w:r>
        <w:rPr>
          <w:rtl/>
          <w:rStyle w:val="PO1"/>
          <w:spacing w:val="0"/>
          <w:color w:val="000000"/>
          <w:sz w:val="26"/>
          <w:szCs w:val="26"/>
          <w:rFonts w:ascii="Simplified Arabic" w:eastAsia="Simplified Arabic" w:hAnsi="Simplified Arabic" w:hint="default"/>
        </w:rPr>
        <w:t xml:space="preserve">إعداد الباحثة: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 </w:t>
      </w:r>
      <w:r>
        <w:rPr>
          <w:rtl/>
          <w:rStyle w:val="PO1"/>
          <w:spacing w:val="0"/>
          <w:color w:val="auto"/>
          <w:sz w:val="24"/>
          <w:szCs w:val="24"/>
          <w:rFonts w:ascii="PT Bold Heading" w:eastAsia="Calibri" w:hAnsi="Calibri" w:hint="default"/>
        </w:rPr>
        <w:t xml:space="preserve">رؤى يحيى علي الذاري  </w:t>
      </w:r>
      <w:r>
        <w:rPr>
          <w:rtl/>
          <w:rStyle w:val="PO1"/>
          <w:spacing w:val="0"/>
          <w:b w:val="1"/>
          <w:color w:val="000000"/>
          <w:sz w:val="26"/>
          <w:szCs w:val="26"/>
          <w:rFonts w:ascii="Simplified Arabic" w:eastAsia="Simplified Arabic" w:hAnsi="Simplified Arabic" w:hint="default"/>
        </w:rPr>
        <w:t xml:space="preserve">           </w:t>
      </w:r>
      <w:r>
        <w:rPr>
          <w:rtl/>
          <w:rStyle w:val="PO1"/>
          <w:spacing w:val="0"/>
          <w:color w:val="000000"/>
          <w:sz w:val="26"/>
          <w:szCs w:val="26"/>
          <w:rFonts w:ascii="Simplified Arabic" w:eastAsia="Simplified Arabic" w:hAnsi="Simplified Arabic" w:hint="default"/>
        </w:rPr>
        <w:t xml:space="preserve">إشراف الدكتور: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 </w:t>
      </w:r>
      <w:r>
        <w:rPr>
          <w:rtl/>
          <w:rStyle w:val="PO1"/>
          <w:spacing w:val="0"/>
          <w:color w:val="auto"/>
          <w:sz w:val="24"/>
          <w:szCs w:val="24"/>
          <w:rFonts w:ascii="PT Bold Heading" w:eastAsia="Calibri" w:hAnsi="Calibri" w:hint="default"/>
        </w:rPr>
        <w:t xml:space="preserve">عبده نعمان صالح الشريف</w:t>
      </w:r>
    </w:p>
    <w:p>
      <w:pPr>
        <w:bidi w:val="1"/>
        <w:numPr>
          <w:ilvl w:val="0"/>
          <w:numId w:val="0"/>
        </w:numPr>
        <w:jc w:val="left"/>
        <w:spacing w:lineRule="auto" w:line="240" w:before="0" w:after="120"/>
        <w:pageBreakBefore w:val="0"/>
        <w:ind w:left="0" w:firstLine="0"/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wordWrap w:val="off"/>
        <w:snapToGrid w:val="off"/>
        <w:autoSpaceDE w:val="1"/>
        <w:autoSpaceDN w:val="1"/>
      </w:pP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       هدفت هذه الدراسة إلى تحديد الدور الذي تلعبه المسؤولية الاجتماعية بأبعادها (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المسؤولية الاقتصادية – المسؤولية الأخلاقية – المسؤولية القانونية – المسؤولية الإنسانية) في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تحقيق ريادية الأعمال بأبعادها المتمثلة في (الإبداع – الاستباقية – الابتكارية – التميز–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المخاطرة)، من وجهة نظر مؤسسات التمويل الصغير والأصغر في أمانة العاصمة – صنعاء.</w:t>
      </w:r>
    </w:p>
    <w:p>
      <w:pPr>
        <w:bidi w:val="1"/>
        <w:numPr>
          <w:ilvl w:val="0"/>
          <w:numId w:val="0"/>
        </w:numPr>
        <w:jc w:val="left"/>
        <w:spacing w:lineRule="auto" w:line="240" w:before="0" w:after="0"/>
        <w:pageBreakBefore w:val="0"/>
        <w:ind w:left="0" w:firstLine="0"/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wordWrap w:val="off"/>
        <w:snapToGrid w:val="off"/>
        <w:autoSpaceDE w:val="1"/>
        <w:autoSpaceDN w:val="1"/>
      </w:pPr>
      <w:r>
        <w:rPr>
          <w:rtl/>
          <w:rStyle w:val="PO1"/>
          <w:spacing w:val="0"/>
          <w:color w:val="auto"/>
          <w:sz w:val="24"/>
          <w:szCs w:val="24"/>
          <w:rFonts w:ascii="PT Bold Heading" w:eastAsia="Calibri" w:hAnsi="Calibri" w:hint="default"/>
        </w:rPr>
        <w:t xml:space="preserve">       ولكي تحقق الدراسة أهدافها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: استُخدم المنهج الوصفي التحليلي، حيث تكوَّن مجتمع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الدراسة من موظفي الإدارات التمويلية بمؤسسات التمويل الصغير والأصغر الرسمية وغير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الرسمية والبالغ عددهم (118)</w:t>
      </w:r>
      <w:r>
        <w:rPr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موظفاً، وقد تم استخدام أسلوب الحصر الشامل نظراً لصغر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حجم العينة، حيث تم توزيع( 118)</w:t>
      </w:r>
      <w:r>
        <w:rPr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استبانة ، واسترداد (111) استبانةٍ صالحة للتحليل، لعدد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(5) مؤسسات تمويل أصغر، وقد تم تحليل البيانات باستخدام مجموعةٍ من الأساليب الإحصائية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الاجتماعية (</w:t>
      </w:r>
      <w:r>
        <w:rPr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>SPSS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 )، كما استُخدمت أداة المقابلة مع بعض المعنيين لاستكشاف واقع موضوع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الدراسة في تلك المؤسسات. </w:t>
      </w:r>
    </w:p>
    <w:p>
      <w:pPr>
        <w:bidi w:val="1"/>
        <w:numPr>
          <w:ilvl w:val="0"/>
          <w:numId w:val="0"/>
        </w:numPr>
        <w:jc w:val="left"/>
        <w:spacing w:lineRule="auto" w:line="240" w:before="0" w:after="0"/>
        <w:pageBreakBefore w:val="0"/>
        <w:ind w:left="0" w:firstLine="0"/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wordWrap w:val="off"/>
        <w:snapToGrid w:val="off"/>
        <w:autoSpaceDE w:val="1"/>
        <w:autoSpaceDN w:val="1"/>
      </w:pPr>
      <w:r>
        <w:rPr>
          <w:rtl/>
          <w:rStyle w:val="PO1"/>
          <w:spacing w:val="0"/>
          <w:color w:val="auto"/>
          <w:sz w:val="24"/>
          <w:szCs w:val="24"/>
          <w:rFonts w:ascii="PT Bold Heading" w:eastAsia="Calibri" w:hAnsi="Calibri" w:hint="default"/>
        </w:rPr>
        <w:t xml:space="preserve">       وقد خلصت الدراسة إلى مجموعة من النتائج، أبرزها: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 أنَّ المسؤولية الاجتماعية بجميع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أبعادها تُمارس في مؤسسات التمويل الصغير والأصغر بدرجة عالية وبنسبة 81%، حيث جاء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بُعد المسؤولية القانونية في المرتبة الأولى، يليه بُعد المسؤولية الأخلاقية، ثمَّ بُعد المسؤولية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الاقتصادية، ثمَّ بُعد المسؤولية الإنسانية في المرتبة الرابعة والأخيرة.</w:t>
      </w:r>
    </w:p>
    <w:p>
      <w:pPr>
        <w:bidi w:val="1"/>
        <w:numPr>
          <w:ilvl w:val="0"/>
          <w:numId w:val="0"/>
        </w:numPr>
        <w:jc w:val="left"/>
        <w:spacing w:lineRule="auto" w:line="240" w:before="0" w:after="120"/>
        <w:pageBreakBefore w:val="0"/>
        <w:ind w:left="0" w:firstLine="0"/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wordWrap w:val="off"/>
        <w:snapToGrid w:val="off"/>
        <w:autoSpaceDE w:val="1"/>
        <w:autoSpaceDN w:val="1"/>
      </w:pP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        كما جاء مستوى ممارسة ريادة الأعمال بأبعادها مجتمعة بدرجة عالية أيضاً وبنسبة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78%، حيث جاء بُعد التميز في المرتبة الأولى، ثمَّ بُعد الاستباقية في المرتبة الثانية، يليه بُعد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المخاطرة في المرتبة الثالثة، ثم بُعد الابتكارية في المرتبة الرابعة، وبُعد الإبداع في المرتبة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الخامسة والأخيرة. </w:t>
      </w:r>
    </w:p>
    <w:p>
      <w:pPr>
        <w:bidi w:val="1"/>
        <w:numPr>
          <w:ilvl w:val="0"/>
          <w:numId w:val="0"/>
        </w:numPr>
        <w:jc w:val="left"/>
        <w:spacing w:lineRule="auto" w:line="240" w:before="0" w:after="120"/>
        <w:pageBreakBefore w:val="0"/>
        <w:ind w:left="0" w:firstLine="0"/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wordWrap w:val="off"/>
        <w:snapToGrid w:val="off"/>
        <w:autoSpaceDE w:val="1"/>
        <w:autoSpaceDN w:val="1"/>
      </w:pP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       وقد خلُصت الدراسة أيضاً إلى وجود فروق ذات دلالة إحصائية بين متوسطات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درجات تقدير أفراد عينة الدراسة لواقع المسؤولية الاجتماعية تُعزى لمتغير العمر في حين أن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بقية المتغيرات لم تحوز أية فروقٍ جوهرية أخرى.</w:t>
      </w:r>
    </w:p>
    <w:p>
      <w:pPr>
        <w:bidi w:val="1"/>
        <w:numPr>
          <w:ilvl w:val="0"/>
          <w:numId w:val="0"/>
        </w:numPr>
        <w:jc w:val="left"/>
        <w:spacing w:lineRule="auto" w:line="240" w:before="0" w:after="120"/>
        <w:pageBreakBefore w:val="0"/>
        <w:ind w:left="0" w:firstLine="0"/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wordWrap w:val="off"/>
        <w:snapToGrid w:val="off"/>
        <w:autoSpaceDE w:val="1"/>
        <w:autoSpaceDN w:val="1"/>
      </w:pPr>
      <w:r>
        <w:rPr>
          <w:rtl/>
          <w:rStyle w:val="PO1"/>
          <w:spacing w:val="0"/>
          <w:color w:val="auto"/>
          <w:sz w:val="24"/>
          <w:szCs w:val="24"/>
          <w:rFonts w:ascii="PT Bold Heading" w:eastAsia="Calibri" w:hAnsi="Calibri" w:hint="default"/>
        </w:rPr>
        <w:t xml:space="preserve">       وقدَّمت الدراسة عدداً من التوصيات، أهمها :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  تعزيز اهتمام مؤسسات التمويل الصغير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والأصغر بمسؤوليتها الاجتماعية لما لها من دورٍ فاعلٍ في الوصول بالمشروعات المُمَولة إلى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الريادية، من خلال تنويع الأنشطة المقدمة وليس حصرها فقط في أنشطة التمويل المعروفة،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بالإضافة إلى متابعة روَّاد الأعمال في مرحلة ما بعد تقديم التمويل وليس فقط الاكتفاء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بتقديمه، وتقديم الحلول الوقائية للمشكلات التي قد تواجههم، ٍومن جانبٍ آخر يجب على تلك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المؤسسات تطوير برامج التدريب المقدمة لروّاد الأعمال بعد دراسة الاحتياج والخروج من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الدورات التدريبية الروتينية وكذا فتح مجالات أوسع لتبادل الخبرات ليتم مواكبة التطورات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المختلفة في مجال أعمالهم، كما ينبغي إيلاء اهتمام أكبر بتوافر أبعاد ريادة الأعمال في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المشاريع الممولة إذ أنها ليست بالمستوى المطلوب على الرغم من الجهود الكبيرة المبذولة،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وبالتالي فإنه لايزال ينقُص تلك المؤسسات وما تقدمه الكثير من الدعم لتعزيز ثقافة ريادة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>الأعمال.</w:t>
      </w:r>
    </w:p>
    <w:p>
      <w:pPr>
        <w:bidi w:val="1"/>
        <w:numPr>
          <w:ilvl w:val="0"/>
          <w:numId w:val="0"/>
        </w:numPr>
        <w:jc w:val="left"/>
        <w:spacing w:lineRule="auto" w:line="240" w:before="0" w:after="120"/>
        <w:pageBreakBefore w:val="0"/>
        <w:ind w:left="0" w:firstLine="0"/>
        <w:rPr>
          <w:rtl/>
          <w:color w:val="auto"/>
          <w:sz w:val="22"/>
          <w:szCs w:val="22"/>
          <w:rFonts w:ascii="NanumGothic" w:eastAsia="NanumGothic" w:hAnsi="NanumGothic" w:hint="default"/>
        </w:rPr>
        <w:wordWrap w:val="off"/>
        <w:snapToGrid w:val="off"/>
        <w:autoSpaceDE w:val="1"/>
        <w:autoSpaceDN w:val="1"/>
      </w:pPr>
      <w:r>
        <w:rPr>
          <w:rtl/>
          <w:rStyle w:val="PO1"/>
          <w:spacing w:val="0"/>
          <w:color w:val="auto"/>
          <w:sz w:val="24"/>
          <w:szCs w:val="24"/>
          <w:rFonts w:ascii="PT Bold Heading" w:eastAsia="Calibri" w:hAnsi="Calibri" w:hint="default"/>
        </w:rPr>
        <w:t xml:space="preserve">       الكلمات المفتاحية: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 المسؤولية الاجتماعية – ريادة الأعمال – مؤسسات التمويل الصغير       </w:t>
      </w:r>
      <w:r>
        <w:rPr>
          <w:rtl/>
          <w:rStyle w:val="PO1"/>
          <w:spacing w:val="0"/>
          <w:color w:val="000000"/>
          <w:sz w:val="28"/>
          <w:szCs w:val="28"/>
          <w:rFonts w:ascii="Simplified Arabic" w:eastAsia="Simplified Arabic" w:hAnsi="Simplified Arabic" w:hint="default"/>
        </w:rPr>
        <w:t xml:space="preserve">والأصغر- صنعاء.</w:t>
      </w:r>
    </w:p>
    <w:sectPr>
      <w:bidi/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headerReference w:type="default" r:id="rId5"/>
      <w:footerReference w:type="default" r:id="rId6"/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PT Bold Heading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Bodoni MT Blac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implified Arabic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bidi w:val="1"/>
      <w:numPr>
        <w:ilvl w:val="0"/>
        <w:numId w:val="0"/>
      </w:numPr>
      <w:jc w:val="left"/>
      <w:spacing w:lineRule="auto" w:line="259" w:before="0" w:after="160"/>
      <w:ind w:left="0" w:hanging="0"/>
      <w:rPr>
        <w:rtl/>
        <w:color w:val="auto"/>
        <w:sz w:val="22"/>
        <w:szCs w:val="22"/>
        <w:rFonts w:ascii="NanumGothic" w:eastAsia="NanumGothic" w:hAnsi="NanumGothic" w:hint="default"/>
      </w:rPr>
      <w:wordWrap w:val="off"/>
    </w:pPr>
  </w:p>
</w:ft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bidi w:val="1"/>
      <w:numPr>
        <w:ilvl w:val="0"/>
        <w:numId w:val="0"/>
      </w:numPr>
      <w:jc w:val="left"/>
      <w:spacing w:lineRule="auto" w:line="259" w:before="0" w:after="160"/>
      <w:ind w:left="0" w:hanging="0"/>
      <w:rPr>
        <w:rtl/>
        <w:color w:val="auto"/>
        <w:sz w:val="22"/>
        <w:szCs w:val="22"/>
        <w:rFonts w:ascii="NanumGothic" w:eastAsia="NanumGothic" w:hAnsi="NanumGothic" w:hint="default"/>
      </w:rPr>
      <w:wordWrap w:val="of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bidi/>
        <w:jc w:val="both"/>
      </w:pPr>
    </w:pPrDefault>
    <w:rPrDefault>
      <w:rPr>
        <w:shd w:val="clear"/>
        <w:sz w:val="22"/>
        <w:szCs w:val="22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2"/>
      <w:szCs w:val="22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2"/>
      <w:szCs w:val="22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6.xml"></Relationship><Relationship Id="rId6" Type="http://schemas.openxmlformats.org/officeDocument/2006/relationships/footer" Target="footer7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425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Abbass Roaa</dc:creator>
  <cp:lastModifiedBy/>
</cp:coreProperties>
</file>