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/>
        <w:jc w:val="center"/>
        <w:spacing w:after="120" w:line="300" w:lineRule="auto"/>
        <w:rPr>
          <w:rFonts w:eastAsia="Calibri" w:cs="PT Bold Heading"/>
          <w:b/>
          <w:bCs/>
          <w:szCs w:val="36"/>
          <w:rtl/>
        </w:rPr>
      </w:pPr>
      <w:r>
        <w:rPr>
          <w:rFonts w:eastAsia="Calibri" w:cs="PT Bold Heading" w:hint="cs"/>
          <w:szCs w:val="36"/>
          <w:rtl w:val="off"/>
        </w:rPr>
        <w:t>ملخ</w:t>
      </w:r>
      <w:r>
        <w:rPr>
          <w:rFonts w:eastAsia="Calibri" w:cs="PT Bold Heading" w:hint="cs"/>
          <w:szCs w:val="36"/>
          <w:rtl w:val="off"/>
        </w:rPr>
        <w:t xml:space="preserve">ص </w:t>
      </w:r>
      <w:r>
        <w:rPr>
          <w:rFonts w:eastAsia="Calibri" w:cs="PT Bold Heading" w:hint="cs"/>
          <w:szCs w:val="36"/>
          <w:rtl/>
        </w:rPr>
        <w:t>الدراسة</w:t>
      </w:r>
    </w:p>
    <w:p>
      <w:pPr>
        <w:pStyle w:val="a9"/>
        <w:ind w:left="0"/>
        <w:bidi/>
        <w:widowControl w:val="off"/>
        <w:jc w:val="center"/>
        <w:tabs>
          <w:tab w:val="left" w:pos="5102"/>
        </w:tabs>
        <w:spacing w:line="312" w:lineRule="auto"/>
        <w:rPr>
          <w:rFonts w:ascii="Simplified Arabic" w:hAnsi="Simplified Arabic" w:cs="SKR HEAD1"/>
          <w:i/>
          <w:szCs w:val="32"/>
          <w:rtl/>
        </w:rPr>
      </w:pPr>
      <w:r>
        <w:rPr>
          <w:rFonts w:ascii="Simplified Arabic" w:hAnsi="Simplified Arabic" w:cs="SKR HEAD1"/>
          <w:i/>
          <w:szCs w:val="32"/>
          <w:rtl/>
        </w:rPr>
        <w:t>الاندماج المصرفي ودوره في تحقيق الاستقرار</w:t>
      </w:r>
      <w:r>
        <w:rPr>
          <w:rFonts w:ascii="Simplified Arabic" w:hAnsi="Simplified Arabic" w:cs="SKR HEAD1" w:hint="cs"/>
          <w:i/>
          <w:szCs w:val="32"/>
          <w:rtl/>
        </w:rPr>
        <w:t xml:space="preserve"> </w:t>
      </w:r>
      <w:r>
        <w:rPr>
          <w:rFonts w:ascii="Simplified Arabic" w:hAnsi="Simplified Arabic" w:cs="SKR HEAD1"/>
          <w:i/>
          <w:szCs w:val="32"/>
          <w:rtl/>
        </w:rPr>
        <w:t>المالي</w:t>
      </w:r>
      <w:r>
        <w:rPr>
          <w:rFonts w:ascii="Simplified Arabic" w:hAnsi="Simplified Arabic" w:cs="SKR HEAD1" w:hint="cs"/>
          <w:i/>
          <w:szCs w:val="32"/>
          <w:rtl/>
        </w:rPr>
        <w:t xml:space="preserve"> للبنوك التجارية العاملة في الجمهورية اليمنية.</w:t>
      </w:r>
    </w:p>
    <w:p>
      <w:pPr>
        <w:pStyle w:val="a9"/>
        <w:ind w:left="0"/>
        <w:bidi/>
        <w:widowControl w:val="off"/>
        <w:jc w:val="center"/>
        <w:tabs>
          <w:tab w:val="left" w:pos="5102"/>
        </w:tabs>
        <w:spacing w:line="312" w:lineRule="auto"/>
        <w:rPr>
          <w:rFonts w:ascii="Simplified Arabic" w:hAnsi="Simplified Arabic" w:cs="SKR HEAD1"/>
          <w:i/>
          <w:szCs w:val="32"/>
          <w:rtl/>
        </w:rPr>
      </w:pPr>
      <w:r>
        <w:rPr>
          <w:rFonts w:ascii="Simplified Arabic" w:hAnsi="Simplified Arabic" w:cs="SKR HEAD1" w:hint="cs"/>
          <w:i/>
          <w:szCs w:val="32"/>
          <w:rtl/>
        </w:rPr>
        <w:t xml:space="preserve">إعداد الباحث: </w:t>
      </w:r>
      <w:r>
        <w:rPr>
          <w:rFonts w:ascii="Simplified Arabic" w:hAnsi="Simplified Arabic" w:cs="SKR HEAD1"/>
          <w:i/>
          <w:szCs w:val="32"/>
          <w:rtl/>
        </w:rPr>
        <w:t>خالد حسين غالب جبر الخولاني</w:t>
      </w:r>
    </w:p>
    <w:p>
      <w:pPr>
        <w:bidi/>
        <w:contextualSpacing/>
        <w:widowControl w:val="off"/>
        <w:jc w:val="center"/>
        <w:spacing w:line="288" w:lineRule="auto"/>
        <w:rPr>
          <w:rFonts w:ascii="Simplified Arabic" w:hAnsi="Simplified Arabic" w:cs="SKR HEAD1"/>
          <w:i/>
          <w:szCs w:val="32"/>
          <w:rtl/>
        </w:rPr>
      </w:pPr>
      <w:r>
        <w:rPr>
          <w:rFonts w:ascii="Simplified Arabic" w:hAnsi="Simplified Arabic" w:cs="SKR HEAD1" w:hint="cs"/>
          <w:i/>
          <w:szCs w:val="32"/>
          <w:rtl/>
        </w:rPr>
        <w:t xml:space="preserve">إشراف: أ.م.د/ </w:t>
      </w:r>
      <w:r>
        <w:rPr>
          <w:rFonts w:ascii="Simplified Arabic" w:hAnsi="Simplified Arabic" w:cs="SKR HEAD1"/>
          <w:i/>
          <w:szCs w:val="32"/>
          <w:rtl/>
        </w:rPr>
        <w:t>نبيل العلفي</w:t>
      </w:r>
    </w:p>
    <w:p>
      <w:pPr>
        <w:bidi/>
        <w:contextualSpacing/>
        <w:widowControl w:val="off"/>
        <w:jc w:val="center"/>
        <w:spacing w:line="288" w:lineRule="auto"/>
        <w:rPr>
          <w:rFonts w:ascii="Simplified Arabic" w:hAnsi="Simplified Arabic" w:cs="SKR HEAD1"/>
          <w:i/>
          <w:szCs w:val="32"/>
          <w:rtl/>
        </w:rPr>
      </w:pPr>
      <w:r>
        <w:rPr>
          <w:rFonts w:ascii="Simplified Arabic" w:hAnsi="Simplified Arabic" w:cs="SKR HEAD1" w:hint="cs"/>
          <w:i/>
          <w:szCs w:val="32"/>
          <w:rtl/>
        </w:rPr>
        <w:t xml:space="preserve"> </w:t>
      </w:r>
      <w:r>
        <w:rPr>
          <w:rFonts w:ascii="Simplified Arabic" w:hAnsi="Simplified Arabic" w:cs="SKR HEAD1"/>
          <w:i/>
          <w:szCs w:val="32"/>
          <w:rtl/>
        </w:rPr>
        <w:t>أستاذ إدارة الأعمال المشارك عميد كلية الأعمال جامعة عمران</w:t>
      </w:r>
    </w:p>
    <w:p>
      <w:pPr>
        <w:pStyle w:val="a9"/>
        <w:ind w:left="0" w:firstLine="284"/>
        <w:bidi/>
        <w:widowControl w:val="off"/>
        <w:jc w:val="lowKashida"/>
        <w:tabs>
          <w:tab w:val="left" w:pos="5102"/>
        </w:tabs>
        <w:spacing w:line="288" w:lineRule="auto"/>
        <w:rPr>
          <w:lang w:bidi="ar-IQ"/>
          <w:rFonts w:ascii="Simplified Arabic" w:hAnsi="Simplified Arabic"/>
          <w:sz w:val="28"/>
          <w:szCs w:val="28"/>
          <w:rtl/>
        </w:rPr>
      </w:pP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 xml:space="preserve">هدفت هذه الدراسة إلى </w:t>
      </w:r>
      <w:r>
        <w:rPr>
          <w:lang w:bidi="ar-IQ"/>
          <w:rFonts w:ascii="Simplified Arabic" w:hAnsi="Simplified Arabic" w:hint="cs"/>
          <w:sz w:val="28"/>
          <w:szCs w:val="28"/>
          <w:rtl/>
        </w:rPr>
        <w:t>معرفة مدى قدرة عمليات الاندماج بغرض مواجهة الأزمات المالية على تحسين</w:t>
      </w:r>
      <w:r>
        <w:rPr>
          <w:rFonts w:ascii="Simplified Arabic" w:hAnsi="Simplified Arabic" w:hint="cs"/>
          <w:sz w:val="28"/>
          <w:szCs w:val="28"/>
          <w:rtl/>
        </w:rPr>
        <w:t xml:space="preserve"> المؤشرات الاحترازية الجزئية، و</w:t>
      </w:r>
      <w:r>
        <w:rPr>
          <w:lang w:bidi="ar-IQ"/>
          <w:rFonts w:ascii="Simplified Arabic" w:hAnsi="Simplified Arabic" w:hint="cs"/>
          <w:sz w:val="28"/>
          <w:szCs w:val="28"/>
          <w:rtl/>
        </w:rPr>
        <w:t>تحسين</w:t>
      </w:r>
      <w:r>
        <w:rPr>
          <w:rFonts w:ascii="Simplified Arabic" w:hAnsi="Simplified Arabic" w:hint="cs"/>
          <w:sz w:val="28"/>
          <w:szCs w:val="28"/>
          <w:rtl/>
        </w:rPr>
        <w:t xml:space="preserve"> مؤشرات السلامة المالية في</w:t>
      </w:r>
      <w:r>
        <w:rPr>
          <w:rFonts w:ascii="Simplified Arabic" w:hAnsi="Simplified Arabic"/>
          <w:sz w:val="28"/>
          <w:szCs w:val="28"/>
          <w:rtl/>
        </w:rPr>
        <w:t xml:space="preserve"> البنوك التجارية </w:t>
      </w:r>
      <w:r>
        <w:rPr>
          <w:rFonts w:ascii="Simplified Arabic" w:hAnsi="Simplified Arabic" w:hint="cs"/>
          <w:sz w:val="28"/>
          <w:szCs w:val="28"/>
          <w:rtl/>
        </w:rPr>
        <w:t>العاملة في الجمهورية</w:t>
      </w:r>
      <w:r>
        <w:rPr>
          <w:rFonts w:ascii="Simplified Arabic" w:hAnsi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</w:rPr>
        <w:t xml:space="preserve">اليمنية، وهدفت أيضاً إلى معرفة </w:t>
      </w:r>
      <w:r>
        <w:rPr>
          <w:lang w:bidi="ar-IQ"/>
          <w:rFonts w:ascii="Simplified Arabic" w:hAnsi="Simplified Arabic" w:hint="cs"/>
          <w:sz w:val="28"/>
          <w:szCs w:val="28"/>
          <w:rtl/>
        </w:rPr>
        <w:t>مدى قدرة عمليات الاندماج بغرض تحسين الأداء المالي على تحسين</w:t>
      </w:r>
      <w:r>
        <w:rPr>
          <w:rFonts w:ascii="Simplified Arabic" w:hAnsi="Simplified Arabic" w:hint="cs"/>
          <w:sz w:val="28"/>
          <w:szCs w:val="28"/>
          <w:rtl/>
        </w:rPr>
        <w:t xml:space="preserve"> المؤشرات الاحترازية الجزئية، وتحسين مؤشرات السلامة المالية في</w:t>
      </w:r>
      <w:r>
        <w:rPr>
          <w:rFonts w:ascii="Simplified Arabic" w:hAnsi="Simplified Arabic"/>
          <w:sz w:val="28"/>
          <w:szCs w:val="28"/>
          <w:rtl/>
        </w:rPr>
        <w:t xml:space="preserve"> البنوك التجارية </w:t>
      </w:r>
      <w:r>
        <w:rPr>
          <w:rFonts w:ascii="Simplified Arabic" w:hAnsi="Simplified Arabic" w:hint="cs"/>
          <w:sz w:val="28"/>
          <w:szCs w:val="28"/>
          <w:rtl/>
        </w:rPr>
        <w:t>العاملة في الجمهورية</w:t>
      </w:r>
      <w:r>
        <w:rPr>
          <w:rFonts w:ascii="Simplified Arabic" w:hAnsi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</w:rPr>
        <w:t>اليمنية</w:t>
      </w:r>
      <w:r>
        <w:rPr>
          <w:lang w:bidi="ar-IQ"/>
          <w:rFonts w:ascii="Simplified Arabic" w:hAnsi="Simplified Arabic" w:hint="cs"/>
          <w:sz w:val="28"/>
          <w:szCs w:val="28"/>
          <w:rtl/>
        </w:rPr>
        <w:t>.</w:t>
      </w:r>
    </w:p>
    <w:p>
      <w:pPr>
        <w:pStyle w:val="a9"/>
        <w:ind w:left="0" w:firstLine="284"/>
        <w:bidi/>
        <w:widowControl w:val="off"/>
        <w:jc w:val="lowKashida"/>
        <w:tabs>
          <w:tab w:val="left" w:pos="5102"/>
        </w:tabs>
        <w:spacing w:line="288" w:lineRule="auto"/>
        <w:rPr>
          <w:lang w:bidi="ar-YE"/>
          <w:rFonts w:ascii="Simplified Arabic" w:hAnsi="Simplified Arabic"/>
          <w:i/>
          <w:sz w:val="28"/>
          <w:szCs w:val="28"/>
          <w:rtl/>
        </w:rPr>
      </w:pP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واعتمدت الدراسة على المنهج الوصفي التحليلي، واستخدمت الاستبانة أد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>اة لجمع البيانات من أفراد عينة الدراسة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،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 xml:space="preserve"> وبعد تحليل النتائج توصلت الدراسة إلى العديد من الاستنتاجات، أبرزها: </w:t>
      </w:r>
    </w:p>
    <w:p>
      <w:pPr>
        <w:pStyle w:val="a9"/>
        <w:ind w:left="0" w:firstLine="284"/>
        <w:bidi/>
        <w:widowControl w:val="off"/>
        <w:jc w:val="lowKashida"/>
        <w:tabs>
          <w:tab w:val="left" w:pos="5102"/>
        </w:tabs>
        <w:spacing w:line="288" w:lineRule="auto"/>
        <w:rPr>
          <w:lang w:bidi="ar-YE"/>
          <w:rFonts w:ascii="Simplified Arabic" w:hAnsi="Simplified Arabic"/>
          <w:i/>
          <w:sz w:val="28"/>
          <w:szCs w:val="28"/>
          <w:rtl/>
        </w:rPr>
      </w:pP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إن الاندماج المصرفي بغرض مواجهة الأزمات المالية له دور مهم وإيجابي في تحسين المؤشرات الاحترازية الجزئية، وتحسين مؤشرات السلامة المالية في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 xml:space="preserve"> البنوك التجارية 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العاملة في الجمهورية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 xml:space="preserve"> 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اليمنية، وأيضاً أن الاندماج المصرفي بغرض تحسين الأداء المالي له دور مهم وإيجابي في تحسين المؤشرات الاحترازية الجزئية، وتحسين مؤشرات السلامة المالية في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 xml:space="preserve"> البنوك التجارية 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العاملة في الجمهورية</w:t>
      </w:r>
      <w:r>
        <w:rPr>
          <w:lang w:bidi="ar-YE"/>
          <w:rFonts w:ascii="Simplified Arabic" w:hAnsi="Simplified Arabic"/>
          <w:i/>
          <w:sz w:val="28"/>
          <w:szCs w:val="28"/>
          <w:rtl/>
        </w:rPr>
        <w:t xml:space="preserve"> 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اليمنية.</w:t>
      </w:r>
    </w:p>
    <w:p>
      <w:pPr>
        <w:pStyle w:val="a9"/>
        <w:ind w:left="0" w:firstLine="284"/>
        <w:bidi/>
        <w:widowControl w:val="off"/>
        <w:jc w:val="lowKashida"/>
        <w:tabs>
          <w:tab w:val="left" w:pos="5102"/>
        </w:tabs>
        <w:spacing w:line="288" w:lineRule="auto"/>
        <w:rPr>
          <w:sz w:val="44"/>
          <w:szCs w:val="32"/>
          <w:rtl/>
        </w:rPr>
      </w:pP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وقد أوصت الدراسة بالعديد من التوصيات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،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من أهمها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: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حث 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البن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و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ك 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على وضع خطط استراتيجية للدخول في تكتلات مصرفية قادرة على تمويل القطاع الخاص، 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ضرورة اعتماد مقررات لجنة بازل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2</w:t>
      </w:r>
      <w:r>
        <w:rPr>
          <w:rFonts w:ascii="Simplified Arabic" w:hAnsi="Simplified Arabic" w:hint="cs"/>
          <w:i/>
          <w:sz w:val="28"/>
          <w:szCs w:val="28"/>
          <w:spacing w:val="-4"/>
          <w:rtl/>
        </w:rPr>
        <w:t>،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 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</w:rPr>
        <w:t>3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لتحقيق الاندماج السريع مع المنظومة العالمية المصرفية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،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واكتساب الخبرات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،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وتطوير القطاع المصرفي اليمني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، العمل على 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استكمال إنشاء البورصة اليمنية وإدراج أسهم البنوك فيها، بما يحقق للبنوك الشفافية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،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 xml:space="preserve"> وسهولة تسييل أصولها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، العمل على سن القوانين والتشريعات القانونية التي 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تساعد البن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>و</w:t>
      </w:r>
      <w:r>
        <w:rPr>
          <w:lang w:bidi="ar-YE"/>
          <w:rFonts w:ascii="Simplified Arabic" w:hAnsi="Simplified Arabic"/>
          <w:i/>
          <w:sz w:val="28"/>
          <w:szCs w:val="28"/>
          <w:spacing w:val="-4"/>
          <w:rtl/>
        </w:rPr>
        <w:t>ك على</w:t>
      </w:r>
      <w:r>
        <w:rPr>
          <w:lang w:bidi="ar-YE"/>
          <w:rFonts w:ascii="Simplified Arabic" w:hAnsi="Simplified Arabic" w:hint="cs"/>
          <w:i/>
          <w:sz w:val="28"/>
          <w:szCs w:val="28"/>
          <w:spacing w:val="-4"/>
          <w:rtl/>
        </w:rPr>
        <w:t xml:space="preserve"> حماية نفسها من أي استحواذ و إفلاس أو تصفية ومنع الاحتكار وتحقيق منافسة عادلة</w:t>
      </w:r>
      <w:r>
        <w:rPr>
          <w:lang w:bidi="ar-YE"/>
          <w:rFonts w:ascii="Simplified Arabic" w:hAnsi="Simplified Arabic" w:hint="cs"/>
          <w:i/>
          <w:sz w:val="28"/>
          <w:szCs w:val="28"/>
          <w:rtl/>
        </w:rPr>
        <w:t>.</w:t>
      </w:r>
    </w:p>
    <w:p>
      <w:pPr>
        <w:rPr>
          <w:rFonts w:cs="Arial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PT Bold Heading">
    <w:panose1 w:val="0201040000000000FFFF"/>
    <w:notTrueType w:val="false"/>
    <w:pitch w:val="variable"/>
    <w:sig w:usb0="00002001" w:usb1="80000000" w:usb2="00000008" w:usb3="00000000" w:csb0="00000040" w:csb1="00000000"/>
  </w:font>
  <w:font w:name="Simplified Arabic">
    <w:panose1 w:val="02020603050405020304"/>
    <w:notTrueType w:val="false"/>
    <w:sig w:usb0="00002003" w:usb1="00000001" w:usb2="00000001" w:usb3="00000001" w:csb0="00000041" w:csb1="20080000"/>
  </w:font>
  <w:font w:name="SKR HEAD1">
    <w:notTrueType w:val="false"/>
    <w:pitch w:val="variable"/>
    <w:sig w:usb0="00002001" w:usb1="00000000" w:usb2="00000000" w:usb3="00000000" w:csb0="00000040" w:csb1="00000000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Arial" w:eastAsia="Arial" w:hAnsi="Arial" w:cs="Simplified Arabic"/>
      </w:rPr>
    </w:rPrDefault>
    <w:pPrDefault>
      <w:pPr/>
    </w:pPrDefault>
  </w:docDefault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9">
    <w:name w:val="سرد الفقرات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SM-N960U1</dc:creator>
  <cp:keywords/>
  <dc:description/>
  <cp:lastModifiedBy>SM-N960U1</cp:lastModifiedBy>
  <cp:revision>1</cp:revision>
  <dcterms:created xsi:type="dcterms:W3CDTF">٢٠١٣-٠٥-١٥T٠٥:١٣:٠٠Z</dcterms:created>
  <dcterms:modified xsi:type="dcterms:W3CDTF">٢٠٢٣-٠٨-٢٢T٠٧:٢٦:٢٣Z</dcterms:modified>
  <cp:version>04.2000</cp:version>
</cp:coreProperties>
</file>